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DD67DC">
            <w:pPr>
              <w:suppressLineNumbers/>
              <w:spacing w:line="360" w:lineRule="auto"/>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DD67DC">
                  <w:rPr>
                    <w:rFonts w:ascii="Arial" w:hAnsi="Arial" w:hint="cs"/>
                    <w:b/>
                    <w:bCs/>
                    <w:sz w:val="26"/>
                    <w:szCs w:val="26"/>
                    <w:rtl/>
                  </w:rPr>
                  <w:t xml:space="preserve">חננאל </w:t>
                </w:r>
                <w:r>
                  <w:rPr>
                    <w:rFonts w:ascii="Arial" w:hAnsi="Arial"/>
                    <w:b/>
                    <w:bCs/>
                    <w:sz w:val="26"/>
                    <w:szCs w:val="26"/>
                    <w:rtl/>
                  </w:rPr>
                  <w:t>שרעבי</w:t>
                </w:r>
                <w:r w:rsidR="00DD67DC">
                  <w:rPr>
                    <w:rFonts w:ascii="Arial" w:hAnsi="Arial" w:hint="cs"/>
                    <w:b/>
                    <w:bCs/>
                    <w:sz w:val="26"/>
                    <w:szCs w:val="26"/>
                    <w:rtl/>
                  </w:rPr>
                  <w:t>, אב"ד</w:t>
                </w:r>
              </w:sdtContent>
            </w:sdt>
          </w:p>
          <w:p w:rsidR="0094424E" w:rsidRPr="00DD05A8" w:rsidRDefault="000529D2" w:rsidP="00DD67DC">
            <w:pPr>
              <w:suppressLineNumbers/>
              <w:spacing w:line="360" w:lineRule="auto"/>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178208153"/>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b/>
                  <w:bCs/>
                  <w:sz w:val="26"/>
                  <w:szCs w:val="26"/>
                  <w:rtl/>
                </w:rPr>
                <w:alias w:val="1573"/>
                <w:tag w:val="1573"/>
                <w:id w:val="1129818985"/>
                <w:text w:multiLine="1"/>
              </w:sdtPr>
              <w:sdtEndPr/>
              <w:sdtContent>
                <w:r w:rsidR="00DD67DC" w:rsidRPr="00DD67DC">
                  <w:rPr>
                    <w:rFonts w:hint="cs"/>
                    <w:b/>
                    <w:bCs/>
                    <w:sz w:val="26"/>
                    <w:szCs w:val="26"/>
                    <w:rtl/>
                  </w:rPr>
                  <w:t xml:space="preserve">אספרנצה </w:t>
                </w:r>
                <w:r w:rsidRPr="00DD67DC">
                  <w:rPr>
                    <w:rFonts w:ascii="Arial" w:hAnsi="Arial"/>
                    <w:b/>
                    <w:bCs/>
                    <w:sz w:val="26"/>
                    <w:szCs w:val="26"/>
                    <w:rtl/>
                  </w:rPr>
                  <w:t>אלון</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11077765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696379205"/>
                <w:text w:multiLine="1"/>
              </w:sdtPr>
              <w:sdtEndPr/>
              <w:sdtContent>
                <w:r w:rsidR="00DD67DC">
                  <w:rPr>
                    <w:rFonts w:ascii="Arial" w:hAnsi="Arial" w:hint="cs"/>
                    <w:b/>
                    <w:bCs/>
                    <w:sz w:val="26"/>
                    <w:szCs w:val="26"/>
                    <w:rtl/>
                  </w:rPr>
                  <w:t xml:space="preserve">אריה </w:t>
                </w:r>
                <w:r>
                  <w:rPr>
                    <w:rFonts w:ascii="Arial" w:hAnsi="Arial"/>
                    <w:b/>
                    <w:bCs/>
                    <w:sz w:val="26"/>
                    <w:szCs w:val="26"/>
                    <w:rtl/>
                  </w:rPr>
                  <w:t>נאמן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BC3B41" w:rsidRDefault="001565B7">
                <w:pPr>
                  <w:suppressLineNumbers/>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94424E" w:rsidRDefault="00D433F3" w:rsidP="00763A0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763A0C">
                  <w:rPr>
                    <w:rFonts w:ascii="Arial" w:hAnsi="Arial" w:hint="cs"/>
                    <w:b/>
                    <w:bCs/>
                    <w:noProof w:val="0"/>
                    <w:sz w:val="26"/>
                    <w:szCs w:val="26"/>
                    <w:rtl/>
                  </w:rPr>
                  <w:t>ח. ש</w:t>
                </w:r>
              </w:sdtContent>
            </w:sdt>
          </w:p>
          <w:p w:rsidR="0094424E" w:rsidRDefault="00D433F3" w:rsidP="00763A0C">
            <w:pPr>
              <w:suppressLineNumbers/>
              <w:rPr>
                <w:b/>
                <w:bCs/>
                <w:noProof w:val="0"/>
                <w:sz w:val="26"/>
                <w:szCs w:val="26"/>
              </w:rPr>
            </w:pPr>
            <w:sdt>
              <w:sdtPr>
                <w:rPr>
                  <w:rFonts w:ascii="Arial" w:hAnsi="Arial"/>
                  <w:b/>
                  <w:bCs/>
                  <w:noProof w:val="0"/>
                  <w:sz w:val="26"/>
                  <w:szCs w:val="26"/>
                  <w:rtl/>
                </w:rPr>
                <w:alias w:val="1462"/>
                <w:tag w:val="1462"/>
                <w:id w:val="-772468773"/>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029020842"/>
                <w:placeholder>
                  <w:docPart w:val="7D8E46D2581B4CD9ACC623ACA7D52F75"/>
                </w:placeholder>
                <w:text w:multiLine="1"/>
              </w:sdtPr>
              <w:sdtEndPr/>
              <w:sdtContent>
                <w:r w:rsidR="00763A0C">
                  <w:rPr>
                    <w:rFonts w:ascii="Arial" w:hAnsi="Arial" w:hint="cs"/>
                    <w:b/>
                    <w:bCs/>
                    <w:noProof w:val="0"/>
                    <w:sz w:val="26"/>
                    <w:szCs w:val="26"/>
                    <w:rtl/>
                  </w:rPr>
                  <w:t>ל. ש</w:t>
                </w:r>
              </w:sdtContent>
            </w:sdt>
          </w:p>
          <w:p w:rsidR="0094424E" w:rsidRDefault="00D433F3" w:rsidP="00763A0C">
            <w:pPr>
              <w:suppressLineNumbers/>
              <w:rPr>
                <w:b/>
                <w:bCs/>
                <w:noProof w:val="0"/>
                <w:sz w:val="26"/>
                <w:szCs w:val="26"/>
              </w:rPr>
            </w:pPr>
            <w:sdt>
              <w:sdtPr>
                <w:rPr>
                  <w:rFonts w:ascii="Arial" w:hAnsi="Arial"/>
                  <w:b/>
                  <w:bCs/>
                  <w:noProof w:val="0"/>
                  <w:sz w:val="26"/>
                  <w:szCs w:val="26"/>
                  <w:rtl/>
                </w:rPr>
                <w:alias w:val="1462"/>
                <w:tag w:val="1462"/>
                <w:id w:val="-607817510"/>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890378403"/>
                <w:placeholder>
                  <w:docPart w:val="7D8E46D2581B4CD9ACC623ACA7D52F75"/>
                </w:placeholder>
                <w:text w:multiLine="1"/>
              </w:sdtPr>
              <w:sdtEndPr/>
              <w:sdtContent>
                <w:r w:rsidR="00763A0C">
                  <w:rPr>
                    <w:rFonts w:ascii="Arial" w:hAnsi="Arial" w:hint="cs"/>
                    <w:b/>
                    <w:bCs/>
                    <w:noProof w:val="0"/>
                    <w:sz w:val="26"/>
                    <w:szCs w:val="26"/>
                    <w:rtl/>
                  </w:rPr>
                  <w:t>מ. ש</w:t>
                </w:r>
              </w:sdtContent>
            </w:sdt>
          </w:p>
          <w:p w:rsidR="0094424E" w:rsidRDefault="00D433F3" w:rsidP="00763A0C">
            <w:pPr>
              <w:suppressLineNumbers/>
              <w:spacing w:line="360" w:lineRule="auto"/>
              <w:rPr>
                <w:rtl/>
              </w:rPr>
            </w:pPr>
            <w:sdt>
              <w:sdtPr>
                <w:rPr>
                  <w:rFonts w:ascii="Arial" w:hAnsi="Arial"/>
                  <w:b/>
                  <w:bCs/>
                  <w:noProof w:val="0"/>
                  <w:sz w:val="26"/>
                  <w:szCs w:val="26"/>
                  <w:rtl/>
                </w:rPr>
                <w:alias w:val="1462"/>
                <w:tag w:val="1462"/>
                <w:id w:val="-1711720597"/>
                <w:text w:multiLine="1"/>
              </w:sdtPr>
              <w:sdtEndPr/>
              <w:sdtContent>
                <w:r w:rsidR="00424313">
                  <w:rPr>
                    <w:rFonts w:ascii="Arial" w:hAnsi="Arial"/>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785419307"/>
                <w:placeholder>
                  <w:docPart w:val="7D8E46D2581B4CD9ACC623ACA7D52F75"/>
                </w:placeholder>
                <w:text w:multiLine="1"/>
              </w:sdtPr>
              <w:sdtEndPr/>
              <w:sdtContent>
                <w:r w:rsidR="00763A0C">
                  <w:rPr>
                    <w:rFonts w:ascii="Arial" w:hAnsi="Arial" w:hint="cs"/>
                    <w:b/>
                    <w:bCs/>
                    <w:noProof w:val="0"/>
                    <w:sz w:val="26"/>
                    <w:szCs w:val="26"/>
                    <w:rtl/>
                  </w:rPr>
                  <w:t>נ. ש</w:t>
                </w:r>
              </w:sdtContent>
            </w:sdt>
          </w:p>
          <w:p w:rsidR="0074199A" w:rsidRPr="0074199A" w:rsidRDefault="0074199A" w:rsidP="007C2453">
            <w:pPr>
              <w:suppressLineNumbers/>
              <w:rPr>
                <w:b/>
                <w:bCs/>
                <w:noProof w:val="0"/>
                <w:sz w:val="26"/>
                <w:szCs w:val="26"/>
              </w:rPr>
            </w:pPr>
            <w:r w:rsidRPr="0074199A">
              <w:rPr>
                <w:rFonts w:hint="cs"/>
                <w:b/>
                <w:bCs/>
                <w:sz w:val="26"/>
                <w:szCs w:val="26"/>
                <w:rtl/>
              </w:rPr>
              <w:t>ע"י ב"כ עוה"ד ויטולד איראני וניזאר שוקייר</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433F3" w:rsidP="009E461A">
            <w:pPr>
              <w:suppressLineNumbers/>
              <w:rPr>
                <w:rFonts w:ascii="Arial" w:hAnsi="Arial"/>
                <w:b/>
                <w:bCs/>
                <w:noProof w:val="0"/>
                <w:sz w:val="26"/>
                <w:szCs w:val="26"/>
              </w:rPr>
            </w:pPr>
            <w:sdt>
              <w:sdtPr>
                <w:rPr>
                  <w:rtl/>
                </w:rPr>
                <w:alias w:val="1184"/>
                <w:tag w:val="1184"/>
                <w:id w:val="-340621022"/>
                <w:text w:multiLine="1"/>
              </w:sdtPr>
              <w:sdtEndPr/>
              <w:sdtContent>
                <w:r w:rsidR="0074199A">
                  <w:rPr>
                    <w:rFonts w:ascii="Arial" w:hAnsi="Arial"/>
                    <w:b/>
                    <w:bCs/>
                    <w:noProof w:val="0"/>
                    <w:sz w:val="26"/>
                    <w:szCs w:val="26"/>
                    <w:rtl/>
                  </w:rPr>
                  <w:t>משיב</w:t>
                </w:r>
                <w:r w:rsidR="0074199A">
                  <w:rPr>
                    <w:rFonts w:ascii="Arial" w:hAnsi="Arial" w:hint="cs"/>
                    <w:b/>
                    <w:bCs/>
                    <w:noProof w:val="0"/>
                    <w:sz w:val="26"/>
                    <w:szCs w:val="26"/>
                    <w:rtl/>
                  </w:rPr>
                  <w:t>ה</w:t>
                </w:r>
              </w:sdtContent>
            </w:sdt>
          </w:p>
        </w:tc>
        <w:tc>
          <w:tcPr>
            <w:tcW w:w="5571" w:type="dxa"/>
          </w:tcPr>
          <w:p w:rsidR="0074199A" w:rsidRPr="009E461A" w:rsidRDefault="00D433F3" w:rsidP="00250966">
            <w:pPr>
              <w:suppressLineNumbers/>
              <w:spacing w:line="360" w:lineRule="auto"/>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763A0C">
                  <w:rPr>
                    <w:rFonts w:ascii="Arial" w:hAnsi="Arial" w:hint="eastAsia"/>
                    <w:b/>
                    <w:bCs/>
                    <w:noProof w:val="0"/>
                    <w:sz w:val="26"/>
                    <w:szCs w:val="26"/>
                    <w:rtl/>
                  </w:rPr>
                  <w:t>ל</w:t>
                </w:r>
                <w:r w:rsidR="00763A0C">
                  <w:rPr>
                    <w:rFonts w:ascii="Arial" w:hAnsi="Arial" w:hint="cs"/>
                    <w:b/>
                    <w:bCs/>
                    <w:noProof w:val="0"/>
                    <w:sz w:val="26"/>
                    <w:szCs w:val="26"/>
                    <w:rtl/>
                  </w:rPr>
                  <w:t>. ש</w:t>
                </w:r>
                <w:r w:rsidR="00250966">
                  <w:rPr>
                    <w:rFonts w:ascii="Arial" w:hAnsi="Arial"/>
                    <w:b/>
                    <w:bCs/>
                    <w:noProof w:val="0"/>
                    <w:sz w:val="26"/>
                    <w:szCs w:val="26"/>
                    <w:rtl/>
                  </w:rPr>
                  <w:br/>
                </w:r>
                <w:r w:rsidR="00250966">
                  <w:rPr>
                    <w:rFonts w:ascii="Arial" w:hAnsi="Arial" w:hint="cs"/>
                    <w:b/>
                    <w:bCs/>
                    <w:noProof w:val="0"/>
                    <w:sz w:val="26"/>
                    <w:szCs w:val="26"/>
                    <w:rtl/>
                  </w:rPr>
                  <w:t>ע"י ב"כ עו"ד בן ציון ראם</w:t>
                </w:r>
              </w:sdtContent>
            </w:sdt>
          </w:p>
        </w:tc>
      </w:tr>
    </w:tbl>
    <w:p w:rsidR="0094424E" w:rsidRDefault="0094424E" w:rsidP="00D44968">
      <w:pPr>
        <w:suppressLineNumbers/>
        <w:rPr>
          <w:rtl/>
        </w:rPr>
      </w:pPr>
    </w:p>
    <w:p w:rsidR="00DD67DC" w:rsidRDefault="00DD67DC"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rsidP="00DD67DC">
            <w:pPr>
              <w:bidi w:val="0"/>
              <w:spacing w:line="360" w:lineRule="auto"/>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D67DC" w:rsidRDefault="00DD67DC" w:rsidP="00DD67DC">
      <w:pPr>
        <w:spacing w:after="120" w:line="360" w:lineRule="auto"/>
        <w:jc w:val="both"/>
        <w:rPr>
          <w:rtl/>
        </w:rPr>
      </w:pPr>
      <w:bookmarkStart w:id="0" w:name="NGCSBookmark"/>
      <w:bookmarkEnd w:id="0"/>
      <w:r w:rsidRPr="00DD67DC">
        <w:rPr>
          <w:rFonts w:hint="cs"/>
          <w:b/>
          <w:bCs/>
          <w:u w:val="single"/>
          <w:rtl/>
        </w:rPr>
        <w:t>השופט אריה נאמן</w:t>
      </w:r>
      <w:r>
        <w:rPr>
          <w:rFonts w:hint="cs"/>
          <w:rtl/>
        </w:rPr>
        <w:t>:</w:t>
      </w:r>
    </w:p>
    <w:p w:rsidR="00DD67DC" w:rsidRDefault="00DD67DC" w:rsidP="00DD67DC">
      <w:pPr>
        <w:spacing w:after="120" w:line="360" w:lineRule="auto"/>
        <w:jc w:val="both"/>
        <w:rPr>
          <w:noProof w:val="0"/>
        </w:rPr>
      </w:pPr>
      <w:r>
        <w:rPr>
          <w:rFonts w:hint="cs"/>
          <w:rtl/>
        </w:rPr>
        <w:t xml:space="preserve">לפנינו ערעור על פסק דינו של בימ"ש קמא מיום 24.10.23 (סגן הנשיאה, כב' השופט טל פפרני), במסגרתו התקבלה טענת המשיבה כי ההסכם מושא התובענה בצירוף התשריט המצורף אליו, הינו </w:t>
      </w:r>
      <w:r>
        <w:rPr>
          <w:rFonts w:hint="cs"/>
          <w:b/>
          <w:bCs/>
          <w:rtl/>
        </w:rPr>
        <w:t>הסכם חלוקה קנייני מחייב בין שותפים</w:t>
      </w:r>
      <w:r>
        <w:rPr>
          <w:rFonts w:hint="cs"/>
          <w:rtl/>
        </w:rPr>
        <w:t xml:space="preserve"> ולא רק הסכם שיתוף המסדיר שימוש בלבד, ועל כן הורה בימ"ש קמא על פירוק השיתוף במקרקעין המשותפים ע"י חלוקתם בדרך של רישום בית משותף בהתאם להסכם החלוקה ולתשריט המצורף אליו. </w:t>
      </w:r>
    </w:p>
    <w:p w:rsidR="00DD67DC" w:rsidRDefault="00DD67DC" w:rsidP="00DD67DC">
      <w:pPr>
        <w:spacing w:after="120" w:line="360" w:lineRule="auto"/>
        <w:jc w:val="both"/>
        <w:rPr>
          <w:rFonts w:ascii="Aharoni" w:hAnsi="Aharoni" w:cs="Aharoni"/>
          <w:rtl/>
        </w:rPr>
      </w:pPr>
      <w:r>
        <w:rPr>
          <w:rFonts w:ascii="Aharoni" w:hAnsi="Aharoni" w:cs="Aharoni"/>
          <w:rtl/>
        </w:rPr>
        <w:t>[</w:t>
      </w:r>
      <w:r>
        <w:rPr>
          <w:rFonts w:ascii="Aharoni" w:hAnsi="Aharoni" w:cs="Aharoni"/>
          <w:b/>
          <w:bCs/>
          <w:u w:val="single"/>
          <w:rtl/>
        </w:rPr>
        <w:t>הערה</w:t>
      </w:r>
      <w:r>
        <w:rPr>
          <w:rFonts w:ascii="Aharoni" w:hAnsi="Aharoni" w:cs="Aharoni"/>
          <w:rtl/>
        </w:rPr>
        <w:t>: ההדגשות בכל ציטוטים שיובאו להלן, אינן במקור ונועדו לשם ההדגשה בלבד]</w:t>
      </w:r>
    </w:p>
    <w:p w:rsidR="00DD67DC" w:rsidRDefault="00DD67DC" w:rsidP="00DD67DC">
      <w:pPr>
        <w:spacing w:after="120" w:line="360" w:lineRule="auto"/>
        <w:jc w:val="both"/>
        <w:rPr>
          <w:rFonts w:ascii="David" w:hAnsi="David"/>
          <w:rtl/>
        </w:rPr>
      </w:pPr>
    </w:p>
    <w:p w:rsidR="00DD67DC" w:rsidRDefault="00DD67DC" w:rsidP="00DD67DC">
      <w:pPr>
        <w:spacing w:after="120" w:line="360" w:lineRule="auto"/>
        <w:jc w:val="both"/>
        <w:rPr>
          <w:rtl/>
        </w:rPr>
      </w:pPr>
      <w:r>
        <w:rPr>
          <w:rFonts w:hint="cs"/>
          <w:b/>
          <w:bCs/>
          <w:u w:val="single"/>
          <w:rtl/>
        </w:rPr>
        <w:t>רקע עובדתי בתמצית</w:t>
      </w:r>
    </w:p>
    <w:p w:rsidR="00DD67DC" w:rsidRDefault="00DD67DC" w:rsidP="00CC5788">
      <w:pPr>
        <w:pStyle w:val="ad"/>
        <w:numPr>
          <w:ilvl w:val="0"/>
          <w:numId w:val="1"/>
        </w:numPr>
        <w:spacing w:after="120" w:line="360" w:lineRule="auto"/>
        <w:ind w:left="368"/>
        <w:contextualSpacing w:val="0"/>
        <w:rPr>
          <w:rtl/>
        </w:rPr>
      </w:pPr>
      <w:r>
        <w:rPr>
          <w:rFonts w:hint="cs"/>
          <w:rtl/>
        </w:rPr>
        <w:t xml:space="preserve">המערערים 1-3 הינם אֶחיו של המנוח </w:t>
      </w:r>
      <w:r w:rsidR="00CC5788">
        <w:rPr>
          <w:rFonts w:hint="cs"/>
          <w:rtl/>
        </w:rPr>
        <w:t>ג. ש</w:t>
      </w:r>
      <w:r>
        <w:rPr>
          <w:rFonts w:hint="cs"/>
          <w:rtl/>
        </w:rPr>
        <w:t xml:space="preserve"> שהיה בעלה של המשיבה, שהלך לעולמו בשנת 2000, כאשר האלמנה-המשיבה הינה יורשתו הבלעדית לעניין הנכס מושא התובענה.</w:t>
      </w:r>
    </w:p>
    <w:p w:rsidR="00DD67DC" w:rsidRDefault="00DD67DC" w:rsidP="00DD67DC">
      <w:pPr>
        <w:pStyle w:val="ad"/>
        <w:spacing w:after="120" w:line="360" w:lineRule="auto"/>
        <w:ind w:left="368"/>
        <w:contextualSpacing w:val="0"/>
      </w:pPr>
      <w:r>
        <w:rPr>
          <w:rFonts w:hint="cs"/>
          <w:rtl/>
        </w:rPr>
        <w:t>מערערת 4 הינה אלמנתו של אח נוסף שהלך לעולמו ושהינה יורשתו.</w:t>
      </w:r>
    </w:p>
    <w:p w:rsidR="00DD67DC" w:rsidRDefault="00DD67DC" w:rsidP="00DD67DC">
      <w:pPr>
        <w:pStyle w:val="ad"/>
        <w:numPr>
          <w:ilvl w:val="0"/>
          <w:numId w:val="1"/>
        </w:numPr>
        <w:spacing w:after="120" w:line="360" w:lineRule="auto"/>
        <w:ind w:left="368"/>
        <w:contextualSpacing w:val="0"/>
      </w:pPr>
      <w:r>
        <w:rPr>
          <w:rFonts w:hint="cs"/>
          <w:rtl/>
        </w:rPr>
        <w:t xml:space="preserve">לשם הנוחות- </w:t>
      </w:r>
    </w:p>
    <w:p w:rsidR="00DD67DC" w:rsidRDefault="00DD67DC" w:rsidP="00DD67DC">
      <w:pPr>
        <w:pStyle w:val="ad"/>
        <w:spacing w:after="120" w:line="360" w:lineRule="auto"/>
        <w:ind w:left="368"/>
        <w:contextualSpacing w:val="0"/>
      </w:pPr>
      <w:r>
        <w:rPr>
          <w:rFonts w:hint="cs"/>
          <w:rtl/>
        </w:rPr>
        <w:t xml:space="preserve">המערערים, לרבות מערערת 4 שהינה אלמנתו-יורשתו של האח הנוסף, ייקראו להלן: </w:t>
      </w:r>
      <w:r>
        <w:rPr>
          <w:rFonts w:hint="cs"/>
          <w:b/>
          <w:bCs/>
          <w:u w:val="single"/>
          <w:rtl/>
        </w:rPr>
        <w:t>"האחים"</w:t>
      </w:r>
      <w:r>
        <w:rPr>
          <w:rFonts w:hint="cs"/>
          <w:rtl/>
        </w:rPr>
        <w:t>;</w:t>
      </w:r>
    </w:p>
    <w:p w:rsidR="00DD67DC" w:rsidRDefault="00DD67DC" w:rsidP="00DD67DC">
      <w:pPr>
        <w:pStyle w:val="ad"/>
        <w:spacing w:after="120" w:line="360" w:lineRule="auto"/>
        <w:ind w:left="368"/>
        <w:contextualSpacing w:val="0"/>
      </w:pPr>
      <w:r>
        <w:rPr>
          <w:rFonts w:hint="cs"/>
          <w:rtl/>
        </w:rPr>
        <w:t xml:space="preserve">המשיבה תיקרא להלן: </w:t>
      </w:r>
      <w:r>
        <w:rPr>
          <w:rFonts w:hint="cs"/>
          <w:b/>
          <w:bCs/>
          <w:u w:val="single"/>
          <w:rtl/>
        </w:rPr>
        <w:t>"האלמנה"</w:t>
      </w:r>
      <w:r>
        <w:rPr>
          <w:rFonts w:hint="cs"/>
          <w:rtl/>
        </w:rPr>
        <w:t>;</w:t>
      </w:r>
    </w:p>
    <w:p w:rsidR="00DD67DC" w:rsidRDefault="00DD67DC" w:rsidP="007D492D">
      <w:pPr>
        <w:pStyle w:val="ad"/>
        <w:spacing w:after="120" w:line="360" w:lineRule="auto"/>
        <w:ind w:left="368"/>
        <w:contextualSpacing w:val="0"/>
        <w:rPr>
          <w:rtl/>
        </w:rPr>
      </w:pPr>
      <w:r>
        <w:rPr>
          <w:rFonts w:hint="cs"/>
          <w:rtl/>
        </w:rPr>
        <w:t>בעלה המנוח של האלמנה</w:t>
      </w:r>
      <w:r w:rsidR="007D492D">
        <w:rPr>
          <w:rFonts w:hint="cs"/>
          <w:rtl/>
        </w:rPr>
        <w:t>,</w:t>
      </w:r>
      <w:r>
        <w:rPr>
          <w:rFonts w:hint="cs"/>
          <w:rtl/>
        </w:rPr>
        <w:t xml:space="preserve"> </w:t>
      </w:r>
      <w:r w:rsidR="007D492D">
        <w:rPr>
          <w:rFonts w:hint="cs"/>
          <w:rtl/>
        </w:rPr>
        <w:t>ג'</w:t>
      </w:r>
      <w:r>
        <w:rPr>
          <w:rFonts w:hint="cs"/>
          <w:rtl/>
        </w:rPr>
        <w:t xml:space="preserve"> ייקרא להלן: </w:t>
      </w:r>
      <w:r>
        <w:rPr>
          <w:rFonts w:hint="cs"/>
          <w:b/>
          <w:bCs/>
          <w:u w:val="single"/>
          <w:rtl/>
        </w:rPr>
        <w:t>"האח המנוח"</w:t>
      </w:r>
      <w:r>
        <w:rPr>
          <w:rFonts w:hint="cs"/>
          <w:rtl/>
        </w:rPr>
        <w:t>;</w:t>
      </w:r>
    </w:p>
    <w:p w:rsidR="00DD67DC" w:rsidRDefault="00DD67DC" w:rsidP="00DD67DC">
      <w:pPr>
        <w:pStyle w:val="ad"/>
        <w:spacing w:after="120" w:line="360" w:lineRule="auto"/>
        <w:ind w:left="368"/>
        <w:contextualSpacing w:val="0"/>
        <w:rPr>
          <w:rtl/>
        </w:rPr>
      </w:pPr>
      <w:r>
        <w:rPr>
          <w:rFonts w:hint="cs"/>
          <w:rtl/>
        </w:rPr>
        <w:lastRenderedPageBreak/>
        <w:t xml:space="preserve">האחים והאח המנוח ביחד ייקראו להלן: </w:t>
      </w:r>
      <w:r>
        <w:rPr>
          <w:rFonts w:hint="cs"/>
          <w:b/>
          <w:bCs/>
          <w:u w:val="single"/>
          <w:rtl/>
        </w:rPr>
        <w:t>"כלל האחים"</w:t>
      </w:r>
      <w:r>
        <w:rPr>
          <w:rFonts w:hint="cs"/>
          <w:rtl/>
        </w:rPr>
        <w:t>;</w:t>
      </w:r>
    </w:p>
    <w:p w:rsidR="00DD67DC" w:rsidRDefault="00DD67DC" w:rsidP="007D492D">
      <w:pPr>
        <w:pStyle w:val="ad"/>
        <w:spacing w:after="120" w:line="360" w:lineRule="auto"/>
        <w:ind w:left="368"/>
        <w:contextualSpacing w:val="0"/>
      </w:pPr>
      <w:r>
        <w:rPr>
          <w:rFonts w:hint="cs"/>
          <w:rtl/>
        </w:rPr>
        <w:t xml:space="preserve">יצויין שקיימים שני אחים נוספים, אשר אינם צד להליכים המשפטיים - ייקראו להלן בשמם: </w:t>
      </w:r>
      <w:r>
        <w:rPr>
          <w:rFonts w:hint="cs"/>
          <w:b/>
          <w:bCs/>
          <w:u w:val="single"/>
          <w:rtl/>
        </w:rPr>
        <w:t xml:space="preserve">"האח </w:t>
      </w:r>
      <w:r w:rsidR="007D492D">
        <w:rPr>
          <w:rFonts w:hint="cs"/>
          <w:b/>
          <w:bCs/>
          <w:u w:val="single"/>
          <w:rtl/>
        </w:rPr>
        <w:t>מו</w:t>
      </w:r>
      <w:r>
        <w:rPr>
          <w:rFonts w:hint="cs"/>
          <w:b/>
          <w:bCs/>
          <w:u w:val="single"/>
          <w:rtl/>
        </w:rPr>
        <w:t>"</w:t>
      </w:r>
      <w:r>
        <w:rPr>
          <w:rFonts w:hint="cs"/>
          <w:rtl/>
        </w:rPr>
        <w:t xml:space="preserve">;  </w:t>
      </w:r>
      <w:r>
        <w:rPr>
          <w:rFonts w:hint="cs"/>
          <w:b/>
          <w:bCs/>
          <w:u w:val="single"/>
          <w:rtl/>
        </w:rPr>
        <w:t xml:space="preserve">"האח </w:t>
      </w:r>
      <w:r w:rsidR="007D492D">
        <w:rPr>
          <w:rFonts w:hint="cs"/>
          <w:b/>
          <w:bCs/>
          <w:u w:val="single"/>
          <w:rtl/>
        </w:rPr>
        <w:t>ט</w:t>
      </w:r>
      <w:r>
        <w:rPr>
          <w:rFonts w:hint="cs"/>
          <w:b/>
          <w:bCs/>
          <w:u w:val="single"/>
          <w:rtl/>
        </w:rPr>
        <w:t>"</w:t>
      </w:r>
      <w:r>
        <w:rPr>
          <w:rFonts w:hint="cs"/>
          <w:rtl/>
        </w:rPr>
        <w:t>;</w:t>
      </w:r>
    </w:p>
    <w:p w:rsidR="00DD67DC" w:rsidRDefault="00DD67DC" w:rsidP="007D492D">
      <w:pPr>
        <w:pStyle w:val="ad"/>
        <w:numPr>
          <w:ilvl w:val="0"/>
          <w:numId w:val="1"/>
        </w:numPr>
        <w:spacing w:after="120" w:line="360" w:lineRule="auto"/>
        <w:ind w:left="368"/>
        <w:contextualSpacing w:val="0"/>
      </w:pPr>
      <w:r>
        <w:rPr>
          <w:rFonts w:hint="cs"/>
          <w:rtl/>
        </w:rPr>
        <w:t>כלל</w:t>
      </w:r>
      <w:r w:rsidR="007D492D">
        <w:rPr>
          <w:rFonts w:hint="cs"/>
          <w:rtl/>
        </w:rPr>
        <w:t xml:space="preserve"> האחים לרבות האחים מו' וט'</w:t>
      </w:r>
      <w:r>
        <w:rPr>
          <w:rFonts w:hint="cs"/>
          <w:rtl/>
        </w:rPr>
        <w:t xml:space="preserve"> היו/הינם בעלים במשותף של מספר נכסי מקרקעין, הכוללים גם את</w:t>
      </w:r>
      <w:r w:rsidR="007D492D">
        <w:rPr>
          <w:rFonts w:hint="cs"/>
          <w:rtl/>
        </w:rPr>
        <w:t xml:space="preserve"> המגרש מושא התובענה ברח' </w:t>
      </w:r>
      <w:r w:rsidR="007D492D">
        <w:rPr>
          <w:rFonts w:hint="cs"/>
        </w:rPr>
        <w:t>XXX</w:t>
      </w:r>
      <w:r w:rsidR="007D492D">
        <w:rPr>
          <w:rFonts w:hint="cs"/>
          <w:rtl/>
        </w:rPr>
        <w:t xml:space="preserve"> בעיר </w:t>
      </w:r>
      <w:r w:rsidR="007D492D">
        <w:rPr>
          <w:rFonts w:hint="cs"/>
        </w:rPr>
        <w:t>XXX</w:t>
      </w:r>
      <w:r>
        <w:rPr>
          <w:rFonts w:hint="cs"/>
          <w:rtl/>
        </w:rPr>
        <w:t xml:space="preserve"> [שהיה ידוע בעבר כחלקה </w:t>
      </w:r>
      <w:r w:rsidR="000E7479">
        <w:rPr>
          <w:rFonts w:hint="cs"/>
          <w:rtl/>
        </w:rPr>
        <w:t>.</w:t>
      </w:r>
      <w:r w:rsidR="007D492D">
        <w:rPr>
          <w:rFonts w:hint="cs"/>
          <w:rtl/>
        </w:rPr>
        <w:t>..</w:t>
      </w:r>
      <w:r>
        <w:rPr>
          <w:rFonts w:hint="cs"/>
          <w:rtl/>
        </w:rPr>
        <w:t xml:space="preserve"> בגוש </w:t>
      </w:r>
      <w:r w:rsidR="007D492D">
        <w:rPr>
          <w:rFonts w:hint="cs"/>
          <w:rtl/>
        </w:rPr>
        <w:t>....</w:t>
      </w:r>
      <w:r>
        <w:rPr>
          <w:rFonts w:hint="cs"/>
          <w:rtl/>
        </w:rPr>
        <w:t xml:space="preserve">; כיום המגרש ממוספר במספרי גוש וחלקה חדשים], (להלן: </w:t>
      </w:r>
      <w:r>
        <w:rPr>
          <w:rFonts w:hint="cs"/>
          <w:b/>
          <w:bCs/>
          <w:u w:val="single"/>
          <w:rtl/>
        </w:rPr>
        <w:t>"המגרש"</w:t>
      </w:r>
      <w:r>
        <w:rPr>
          <w:rFonts w:hint="cs"/>
          <w:rtl/>
        </w:rPr>
        <w:t>).</w:t>
      </w:r>
    </w:p>
    <w:p w:rsidR="00DD67DC" w:rsidRDefault="00DD67DC" w:rsidP="00DD67DC">
      <w:pPr>
        <w:pStyle w:val="ad"/>
        <w:spacing w:after="120" w:line="360" w:lineRule="auto"/>
        <w:ind w:left="368"/>
        <w:contextualSpacing w:val="0"/>
      </w:pPr>
      <w:r>
        <w:rPr>
          <w:rFonts w:hint="cs"/>
          <w:rtl/>
        </w:rPr>
        <w:t>על המגרש בנויים מבני מגורים, כאשר האלמנה-המשיבה מתגוררת בבית חד-קומתי הבנוי בחלק העורפי של המגרש, ואילו האחים-המערערים מתגוררים בבניין בן 4 דירות הבנוי בחזית המגרש.</w:t>
      </w:r>
    </w:p>
    <w:p w:rsidR="00DD67DC" w:rsidRDefault="00DD67DC" w:rsidP="00EC21D9">
      <w:pPr>
        <w:pStyle w:val="ad"/>
        <w:spacing w:after="120" w:line="360" w:lineRule="auto"/>
        <w:ind w:left="368"/>
        <w:contextualSpacing w:val="0"/>
      </w:pPr>
      <w:r>
        <w:rPr>
          <w:rFonts w:hint="cs"/>
          <w:rtl/>
        </w:rPr>
        <w:t>המגרש נרכש בשנת 197</w:t>
      </w:r>
      <w:r w:rsidR="000E7479">
        <w:rPr>
          <w:rFonts w:hint="cs"/>
          <w:rtl/>
        </w:rPr>
        <w:t>0 ע"י כלל האחים לרבות האחים מו' וט'</w:t>
      </w:r>
      <w:r>
        <w:rPr>
          <w:rFonts w:hint="cs"/>
          <w:rtl/>
        </w:rPr>
        <w:t>, כאשר בסופו של יום הזכויות במגרש נרשמו והינם רשומים כך עד היום</w:t>
      </w:r>
      <w:r w:rsidR="00EC21D9">
        <w:rPr>
          <w:rFonts w:hint="cs"/>
          <w:rtl/>
        </w:rPr>
        <w:t>- ע"ש כלל האחים, ללא האחים מו' וט'</w:t>
      </w:r>
      <w:r>
        <w:rPr>
          <w:rFonts w:hint="cs"/>
          <w:rtl/>
        </w:rPr>
        <w:t xml:space="preserve"> ועל כן הם אינם צד להליך המשפטי העוסק כולו אך ורק במגרש.</w:t>
      </w:r>
    </w:p>
    <w:p w:rsidR="00DD67DC" w:rsidRDefault="00DD67DC" w:rsidP="00701430">
      <w:pPr>
        <w:pStyle w:val="ad"/>
        <w:numPr>
          <w:ilvl w:val="0"/>
          <w:numId w:val="1"/>
        </w:numPr>
        <w:spacing w:after="120" w:line="360" w:lineRule="auto"/>
        <w:ind w:left="368"/>
        <w:contextualSpacing w:val="0"/>
      </w:pPr>
      <w:r w:rsidRPr="00DD67DC">
        <w:rPr>
          <w:rFonts w:hint="cs"/>
          <w:u w:val="single"/>
          <w:rtl/>
        </w:rPr>
        <w:t>ביום 16.2.1980</w:t>
      </w:r>
      <w:r>
        <w:rPr>
          <w:rFonts w:hint="cs"/>
          <w:rtl/>
        </w:rPr>
        <w:t xml:space="preserve"> נחתם בין כלל האחים "הסכם" (להלן: </w:t>
      </w:r>
      <w:r w:rsidRPr="00DD67DC">
        <w:rPr>
          <w:rFonts w:hint="cs"/>
          <w:b/>
          <w:bCs/>
          <w:u w:val="single"/>
          <w:rtl/>
        </w:rPr>
        <w:t>"ההסכם"</w:t>
      </w:r>
      <w:r>
        <w:rPr>
          <w:rFonts w:hint="cs"/>
          <w:rtl/>
        </w:rPr>
        <w:t xml:space="preserve">) שהתייחס לאופן חלוקת נכסי המקרקעין לרבות המגרש בין כלל האחים, כשבהתייחס למגרש מפנה ההסכם בסעיף 5 לתשריט חלוקה מצורף שהוכן ביום 23.1.1980 (להלן: </w:t>
      </w:r>
      <w:r w:rsidRPr="00DD67DC">
        <w:rPr>
          <w:rFonts w:hint="cs"/>
          <w:b/>
          <w:bCs/>
          <w:u w:val="single"/>
          <w:rtl/>
        </w:rPr>
        <w:t>"התשריט"</w:t>
      </w:r>
      <w:r>
        <w:rPr>
          <w:rFonts w:hint="cs"/>
          <w:rtl/>
        </w:rPr>
        <w:t>) וקובע שהתשריט המצורף הינו חלק בלתי נפרד מההסכם.</w:t>
      </w:r>
    </w:p>
    <w:p w:rsidR="00DD67DC" w:rsidRDefault="00DD67DC" w:rsidP="00DD67DC">
      <w:pPr>
        <w:pStyle w:val="ad"/>
        <w:numPr>
          <w:ilvl w:val="0"/>
          <w:numId w:val="1"/>
        </w:numPr>
        <w:spacing w:after="120" w:line="360" w:lineRule="auto"/>
        <w:ind w:left="368"/>
        <w:contextualSpacing w:val="0"/>
      </w:pPr>
      <w:r>
        <w:rPr>
          <w:rFonts w:hint="cs"/>
          <w:rtl/>
        </w:rPr>
        <w:t>מפאת חשיבות הדברים אצטט להלן את לשונם של הסעיפים הרלוונטיים להסכם, כשההדגשות אינן במקור אלא לצורך הבנת תוצאת פסק דין קמא ופסק דין זה:</w:t>
      </w:r>
    </w:p>
    <w:p w:rsidR="00DD67DC" w:rsidRDefault="00DD67DC" w:rsidP="00EC21D9">
      <w:pPr>
        <w:spacing w:after="120" w:line="360" w:lineRule="auto"/>
        <w:ind w:left="720"/>
        <w:jc w:val="both"/>
        <w:rPr>
          <w:b/>
          <w:bCs/>
        </w:rPr>
      </w:pPr>
      <w:r>
        <w:rPr>
          <w:rFonts w:hint="cs"/>
          <w:b/>
          <w:bCs/>
          <w:rtl/>
        </w:rPr>
        <w:t xml:space="preserve">"5. </w:t>
      </w:r>
      <w:r w:rsidR="00EC21D9">
        <w:rPr>
          <w:rFonts w:hint="cs"/>
          <w:b/>
          <w:bCs/>
          <w:rtl/>
        </w:rPr>
        <w:t>בשמם של שאר האחים יבצע האח ג'</w:t>
      </w:r>
      <w:r>
        <w:rPr>
          <w:rFonts w:hint="cs"/>
          <w:b/>
          <w:bCs/>
          <w:rtl/>
        </w:rPr>
        <w:t xml:space="preserve"> את ההליכים הדרושים </w:t>
      </w:r>
      <w:r>
        <w:rPr>
          <w:rFonts w:hint="cs"/>
          <w:b/>
          <w:bCs/>
          <w:u w:val="single"/>
          <w:rtl/>
        </w:rPr>
        <w:t xml:space="preserve">כדי לרשום את המבנים בשכונת </w:t>
      </w:r>
      <w:r w:rsidR="00EC21D9">
        <w:rPr>
          <w:rFonts w:hint="cs"/>
          <w:b/>
          <w:bCs/>
          <w:u w:val="single"/>
        </w:rPr>
        <w:t>XXX</w:t>
      </w:r>
      <w:r>
        <w:rPr>
          <w:rFonts w:hint="cs"/>
          <w:b/>
          <w:bCs/>
          <w:u w:val="single"/>
          <w:rtl/>
        </w:rPr>
        <w:t xml:space="preserve"> כ"בתים משותפים" על פי חוק "הבתים המשותפים</w:t>
      </w:r>
      <w:r>
        <w:rPr>
          <w:rFonts w:hint="cs"/>
          <w:b/>
          <w:bCs/>
          <w:rtl/>
        </w:rPr>
        <w:t xml:space="preserve">", וכמו כן הוא יכין מפות רשמיות </w:t>
      </w:r>
      <w:r>
        <w:rPr>
          <w:rFonts w:hint="cs"/>
          <w:b/>
          <w:bCs/>
          <w:u w:val="single"/>
          <w:rtl/>
        </w:rPr>
        <w:t>וירשום את ה</w:t>
      </w:r>
      <w:r w:rsidR="00EC21D9">
        <w:rPr>
          <w:rFonts w:hint="cs"/>
          <w:b/>
          <w:bCs/>
          <w:u w:val="single"/>
          <w:rtl/>
        </w:rPr>
        <w:t xml:space="preserve">בתים במחלקת רישום המקרקעין ב... </w:t>
      </w:r>
      <w:r>
        <w:rPr>
          <w:rFonts w:hint="cs"/>
          <w:b/>
          <w:bCs/>
          <w:rtl/>
        </w:rPr>
        <w:t>.</w:t>
      </w:r>
    </w:p>
    <w:p w:rsidR="00DD67DC" w:rsidRDefault="00DD67DC" w:rsidP="00EC21D9">
      <w:pPr>
        <w:spacing w:after="120" w:line="360" w:lineRule="auto"/>
        <w:ind w:left="720"/>
        <w:jc w:val="both"/>
        <w:rPr>
          <w:b/>
          <w:bCs/>
          <w:rtl/>
        </w:rPr>
      </w:pPr>
      <w:r>
        <w:rPr>
          <w:rFonts w:hint="cs"/>
          <w:b/>
          <w:bCs/>
          <w:rtl/>
        </w:rPr>
        <w:t xml:space="preserve">קביעת הזכויות המשותפות בנכס אשר נמצא בחלקה מספר </w:t>
      </w:r>
      <w:r w:rsidR="00EC21D9">
        <w:rPr>
          <w:rFonts w:hint="cs"/>
          <w:b/>
          <w:bCs/>
          <w:rtl/>
        </w:rPr>
        <w:t>...</w:t>
      </w:r>
      <w:r>
        <w:rPr>
          <w:rFonts w:hint="cs"/>
          <w:b/>
          <w:bCs/>
          <w:rtl/>
        </w:rPr>
        <w:t xml:space="preserve"> בגוש מספר </w:t>
      </w:r>
      <w:r w:rsidR="00EC21D9">
        <w:rPr>
          <w:rFonts w:hint="cs"/>
          <w:b/>
          <w:bCs/>
          <w:rtl/>
        </w:rPr>
        <w:t xml:space="preserve">... בשכונת </w:t>
      </w:r>
      <w:r w:rsidR="00EC21D9">
        <w:rPr>
          <w:rFonts w:hint="cs"/>
          <w:b/>
          <w:bCs/>
        </w:rPr>
        <w:t>XXX</w:t>
      </w:r>
      <w:r>
        <w:rPr>
          <w:rFonts w:hint="cs"/>
          <w:b/>
          <w:bCs/>
          <w:rtl/>
        </w:rPr>
        <w:t xml:space="preserve"> ברחוב </w:t>
      </w:r>
      <w:r w:rsidR="00EC21D9">
        <w:rPr>
          <w:rFonts w:hint="cs"/>
          <w:b/>
          <w:bCs/>
        </w:rPr>
        <w:t>XXX</w:t>
      </w:r>
      <w:r w:rsidR="00EC21D9">
        <w:rPr>
          <w:rFonts w:hint="cs"/>
          <w:b/>
          <w:bCs/>
          <w:rtl/>
        </w:rPr>
        <w:t xml:space="preserve"> בעיר ...</w:t>
      </w:r>
      <w:r>
        <w:rPr>
          <w:rFonts w:hint="cs"/>
          <w:b/>
          <w:bCs/>
          <w:rtl/>
        </w:rPr>
        <w:t xml:space="preserve"> ובבניינים אשר בנויים על חלקה זו והדברים  אשר שייכים לבניינים אלו – </w:t>
      </w:r>
      <w:r>
        <w:rPr>
          <w:rFonts w:hint="cs"/>
          <w:b/>
          <w:bCs/>
          <w:u w:val="single"/>
          <w:rtl/>
        </w:rPr>
        <w:t>תהיה על פי המפה בנספח א'</w:t>
      </w:r>
      <w:r>
        <w:rPr>
          <w:rFonts w:hint="cs"/>
          <w:b/>
          <w:bCs/>
          <w:rtl/>
        </w:rPr>
        <w:t xml:space="preserve"> אשר הוכנה ע"י המהנדס סוהייל סאבא למטרה זו בתאריך 23 בחודש ינואר 1980 </w:t>
      </w:r>
      <w:r>
        <w:rPr>
          <w:rFonts w:hint="cs"/>
          <w:b/>
          <w:bCs/>
          <w:u w:val="single"/>
          <w:rtl/>
        </w:rPr>
        <w:t>והיא מהווה חלק בלתי נפרד מן ההסכם הזה</w:t>
      </w:r>
      <w:r>
        <w:rPr>
          <w:rFonts w:hint="cs"/>
          <w:b/>
          <w:bCs/>
          <w:rtl/>
        </w:rPr>
        <w:t xml:space="preserve">. המפה הזו הינה </w:t>
      </w:r>
      <w:r>
        <w:rPr>
          <w:rFonts w:hint="cs"/>
          <w:b/>
          <w:bCs/>
          <w:u w:val="single"/>
          <w:rtl/>
        </w:rPr>
        <w:t>מפה מחייבת וסופית</w:t>
      </w:r>
      <w:r>
        <w:rPr>
          <w:rFonts w:hint="cs"/>
          <w:b/>
          <w:bCs/>
          <w:rtl/>
        </w:rPr>
        <w:t xml:space="preserve"> ולאף אחד מן האחים </w:t>
      </w:r>
      <w:r>
        <w:rPr>
          <w:rFonts w:hint="cs"/>
          <w:b/>
          <w:bCs/>
          <w:u w:val="single"/>
          <w:rtl/>
        </w:rPr>
        <w:t>אין כל זכות להביע התנגדות לפיצול ולחלוקה על פי המפה</w:t>
      </w:r>
      <w:r>
        <w:rPr>
          <w:rFonts w:hint="cs"/>
          <w:b/>
          <w:bCs/>
          <w:rtl/>
        </w:rPr>
        <w:t xml:space="preserve"> האמורה לעיל.</w:t>
      </w:r>
    </w:p>
    <w:p w:rsidR="00DD67DC" w:rsidRDefault="00DD67DC" w:rsidP="00DD67DC">
      <w:pPr>
        <w:spacing w:after="120" w:line="360" w:lineRule="auto"/>
        <w:ind w:left="720"/>
        <w:jc w:val="both"/>
        <w:rPr>
          <w:b/>
          <w:bCs/>
          <w:rtl/>
        </w:rPr>
      </w:pPr>
      <w:r>
        <w:rPr>
          <w:rFonts w:hint="cs"/>
          <w:b/>
          <w:bCs/>
          <w:rtl/>
        </w:rPr>
        <w:t>.....</w:t>
      </w:r>
    </w:p>
    <w:p w:rsidR="00DD67DC" w:rsidRDefault="00DD67DC" w:rsidP="00DD67DC">
      <w:pPr>
        <w:spacing w:after="120" w:line="360" w:lineRule="auto"/>
        <w:ind w:left="720"/>
        <w:jc w:val="both"/>
        <w:rPr>
          <w:b/>
          <w:bCs/>
        </w:rPr>
      </w:pPr>
      <w:r>
        <w:rPr>
          <w:rFonts w:hint="cs"/>
          <w:b/>
          <w:bCs/>
          <w:rtl/>
        </w:rPr>
        <w:t xml:space="preserve">10. כל האחים מתחייבים לחתום על כל המסמכים, התצהירים, הטפסים והוויתורים הדרושים כדי להוציא לפועל את סעיפיו של הסכם זה </w:t>
      </w:r>
      <w:r>
        <w:rPr>
          <w:rFonts w:hint="cs"/>
          <w:b/>
          <w:bCs/>
          <w:u w:val="single"/>
          <w:rtl/>
        </w:rPr>
        <w:t xml:space="preserve">ולפנות את החלקים אשר </w:t>
      </w:r>
      <w:r>
        <w:rPr>
          <w:rFonts w:hint="cs"/>
          <w:b/>
          <w:bCs/>
          <w:u w:val="double"/>
          <w:rtl/>
        </w:rPr>
        <w:t>שייכים</w:t>
      </w:r>
      <w:r>
        <w:rPr>
          <w:rFonts w:hint="cs"/>
          <w:b/>
          <w:bCs/>
          <w:u w:val="single"/>
          <w:rtl/>
        </w:rPr>
        <w:t xml:space="preserve"> לכל אחד מהאחים</w:t>
      </w:r>
      <w:r>
        <w:rPr>
          <w:rFonts w:hint="cs"/>
          <w:b/>
          <w:bCs/>
          <w:rtl/>
        </w:rPr>
        <w:t xml:space="preserve">, כפי שהוא </w:t>
      </w:r>
      <w:r>
        <w:rPr>
          <w:rFonts w:hint="cs"/>
          <w:b/>
          <w:bCs/>
          <w:u w:val="single"/>
          <w:rtl/>
        </w:rPr>
        <w:t>קיבל אותו או כפי שהוא ויתר עליו</w:t>
      </w:r>
      <w:r>
        <w:rPr>
          <w:rFonts w:hint="cs"/>
          <w:b/>
          <w:bCs/>
          <w:rtl/>
        </w:rPr>
        <w:t xml:space="preserve"> על פי הסכם זה. </w:t>
      </w:r>
    </w:p>
    <w:p w:rsidR="00DD67DC" w:rsidRDefault="00DD67DC" w:rsidP="009D659B">
      <w:pPr>
        <w:pStyle w:val="ad"/>
        <w:numPr>
          <w:ilvl w:val="0"/>
          <w:numId w:val="1"/>
        </w:numPr>
        <w:spacing w:after="120" w:line="360" w:lineRule="auto"/>
        <w:ind w:left="368"/>
        <w:contextualSpacing w:val="0"/>
      </w:pPr>
      <w:r>
        <w:rPr>
          <w:rFonts w:hint="cs"/>
          <w:rtl/>
        </w:rPr>
        <w:t xml:space="preserve">לשם </w:t>
      </w:r>
      <w:r w:rsidR="00722D2C">
        <w:rPr>
          <w:rFonts w:hint="cs"/>
          <w:rtl/>
        </w:rPr>
        <w:t xml:space="preserve">השלמת הדברים יצויין כי האח ט' </w:t>
      </w:r>
      <w:r>
        <w:rPr>
          <w:rFonts w:hint="cs"/>
          <w:rtl/>
        </w:rPr>
        <w:t xml:space="preserve">לא חתום על ההסכם אך לעניינינו אין הדבר רלוונטי שכן בהתייחס למגרש- </w:t>
      </w:r>
      <w:r w:rsidRPr="00DD67DC">
        <w:rPr>
          <w:rFonts w:hint="cs"/>
          <w:u w:val="single"/>
          <w:rtl/>
        </w:rPr>
        <w:t>כל בעלי הזכויות במגרש שהינם כלל האחים, חתומים הן על ההסכם  והן על התשריט</w:t>
      </w:r>
      <w:r>
        <w:rPr>
          <w:rFonts w:hint="cs"/>
          <w:rtl/>
        </w:rPr>
        <w:t xml:space="preserve">. </w:t>
      </w:r>
    </w:p>
    <w:p w:rsidR="00DD67DC" w:rsidRDefault="00DD67DC" w:rsidP="00722D2C">
      <w:pPr>
        <w:pStyle w:val="ad"/>
        <w:numPr>
          <w:ilvl w:val="0"/>
          <w:numId w:val="1"/>
        </w:numPr>
        <w:spacing w:after="120" w:line="360" w:lineRule="auto"/>
        <w:ind w:left="368"/>
        <w:contextualSpacing w:val="0"/>
      </w:pPr>
      <w:r>
        <w:rPr>
          <w:rFonts w:hint="cs"/>
          <w:rtl/>
        </w:rPr>
        <w:lastRenderedPageBreak/>
        <w:t>במועד חתימת ההסכם נחתם הסכם נוסף, שעליו</w:t>
      </w:r>
      <w:r w:rsidR="00722D2C">
        <w:rPr>
          <w:rFonts w:hint="cs"/>
          <w:rtl/>
        </w:rPr>
        <w:t xml:space="preserve"> חתומים כלל האחים וגם האחים מו' וט'</w:t>
      </w:r>
      <w:r>
        <w:rPr>
          <w:rFonts w:hint="cs"/>
          <w:rtl/>
        </w:rPr>
        <w:t xml:space="preserve">  - להלן: </w:t>
      </w:r>
      <w:r>
        <w:rPr>
          <w:rFonts w:hint="cs"/>
          <w:b/>
          <w:bCs/>
          <w:u w:val="single"/>
          <w:rtl/>
        </w:rPr>
        <w:t>"ההסכם המשלים"</w:t>
      </w:r>
      <w:r>
        <w:rPr>
          <w:rFonts w:hint="cs"/>
          <w:rtl/>
        </w:rPr>
        <w:t xml:space="preserve"> – וגם כאן מפאת חשיבות הדברים אצטט להלן את לשונם של הסעיפים הרלוונטיים בהסכם המשלים, כשגם כאן ההדגשות אינן במקור אלא לצורך הבנת תוצאת פסק דין קמא ופסק דין זה:</w:t>
      </w:r>
    </w:p>
    <w:p w:rsidR="00DD67DC" w:rsidRDefault="00DD67DC" w:rsidP="00DD67DC">
      <w:pPr>
        <w:pStyle w:val="ad"/>
        <w:spacing w:after="120" w:line="360" w:lineRule="auto"/>
        <w:contextualSpacing w:val="0"/>
        <w:rPr>
          <w:b/>
          <w:bCs/>
        </w:rPr>
      </w:pPr>
      <w:r>
        <w:rPr>
          <w:rFonts w:hint="cs"/>
          <w:b/>
          <w:bCs/>
          <w:rtl/>
        </w:rPr>
        <w:t xml:space="preserve">"מאחר שהאחים חיים חיים משותפים כדוגמת הקיבוצים מאז פטירת אביהם בשנת 1963 והם מעוניינים להסדיר את האינטרסים שלהם ואת קשריהם הכספיים, החברתיים והאחרים </w:t>
      </w:r>
      <w:r>
        <w:rPr>
          <w:rFonts w:hint="cs"/>
          <w:b/>
          <w:bCs/>
          <w:u w:val="single"/>
          <w:rtl/>
        </w:rPr>
        <w:t xml:space="preserve">ולקבוע </w:t>
      </w:r>
      <w:r>
        <w:rPr>
          <w:rFonts w:hint="cs"/>
          <w:b/>
          <w:bCs/>
          <w:u w:val="double"/>
          <w:rtl/>
        </w:rPr>
        <w:t>ולהגדיר את חלקו</w:t>
      </w:r>
      <w:r>
        <w:rPr>
          <w:rFonts w:hint="cs"/>
          <w:b/>
          <w:bCs/>
          <w:u w:val="single"/>
          <w:rtl/>
        </w:rPr>
        <w:t xml:space="preserve"> של כל אחד מהאחים ברכוש המשותף</w:t>
      </w:r>
      <w:r>
        <w:rPr>
          <w:rFonts w:hint="cs"/>
          <w:b/>
          <w:bCs/>
          <w:rtl/>
        </w:rPr>
        <w:t xml:space="preserve"> וכמו כן את קשרי העבודה והתכנון בעתיד;</w:t>
      </w:r>
    </w:p>
    <w:p w:rsidR="00DD67DC" w:rsidRDefault="00DD67DC" w:rsidP="00DD67DC">
      <w:pPr>
        <w:pStyle w:val="ad"/>
        <w:spacing w:after="120" w:line="360" w:lineRule="auto"/>
        <w:contextualSpacing w:val="0"/>
        <w:rPr>
          <w:b/>
          <w:bCs/>
          <w:rtl/>
        </w:rPr>
      </w:pPr>
      <w:r>
        <w:rPr>
          <w:rFonts w:hint="cs"/>
          <w:b/>
          <w:bCs/>
          <w:rtl/>
        </w:rPr>
        <w:t>....</w:t>
      </w:r>
    </w:p>
    <w:p w:rsidR="00DD67DC" w:rsidRDefault="00DD67DC" w:rsidP="00DD67DC">
      <w:pPr>
        <w:pStyle w:val="ad"/>
        <w:spacing w:after="120" w:line="360" w:lineRule="auto"/>
        <w:contextualSpacing w:val="0"/>
        <w:rPr>
          <w:b/>
          <w:bCs/>
          <w:rtl/>
        </w:rPr>
      </w:pPr>
      <w:r>
        <w:rPr>
          <w:rFonts w:hint="cs"/>
          <w:b/>
          <w:bCs/>
          <w:rtl/>
        </w:rPr>
        <w:t xml:space="preserve">2. </w:t>
      </w:r>
      <w:r w:rsidR="00722D2C">
        <w:rPr>
          <w:rFonts w:hint="cs"/>
          <w:b/>
          <w:bCs/>
          <w:rtl/>
        </w:rPr>
        <w:t>על פי בקשת האחים הכין האח ג'</w:t>
      </w:r>
      <w:r>
        <w:rPr>
          <w:rFonts w:hint="cs"/>
          <w:b/>
          <w:bCs/>
          <w:rtl/>
        </w:rPr>
        <w:t xml:space="preserve"> רשימה מפורטת של הרכוש המפורט והגיש אותה לאחים, </w:t>
      </w:r>
      <w:r>
        <w:rPr>
          <w:rFonts w:hint="cs"/>
          <w:b/>
          <w:bCs/>
          <w:u w:val="single"/>
          <w:rtl/>
        </w:rPr>
        <w:t>אשר בחנו ולמדו אותה לאחר שאימות את נכונותה</w:t>
      </w:r>
      <w:r>
        <w:rPr>
          <w:rFonts w:hint="cs"/>
          <w:b/>
          <w:bCs/>
          <w:rtl/>
        </w:rPr>
        <w:t xml:space="preserve"> ווידאו כי היא </w:t>
      </w:r>
      <w:r>
        <w:rPr>
          <w:rFonts w:hint="cs"/>
          <w:b/>
          <w:bCs/>
          <w:u w:val="single"/>
          <w:rtl/>
        </w:rPr>
        <w:t>רשימה כוללת והם חתמו עליה</w:t>
      </w:r>
      <w:r>
        <w:rPr>
          <w:rFonts w:hint="cs"/>
          <w:b/>
          <w:bCs/>
          <w:rtl/>
        </w:rPr>
        <w:t xml:space="preserve">. </w:t>
      </w:r>
      <w:r>
        <w:rPr>
          <w:rFonts w:hint="cs"/>
          <w:b/>
          <w:bCs/>
          <w:u w:val="single"/>
          <w:rtl/>
        </w:rPr>
        <w:t>הרשימה מצורפת להלן והיא מהווה חלק בלתי נפרד מההסכם הזה</w:t>
      </w:r>
      <w:r>
        <w:rPr>
          <w:rFonts w:hint="cs"/>
          <w:b/>
          <w:bCs/>
          <w:rtl/>
        </w:rPr>
        <w:t xml:space="preserve">. הרשימה מזוהה להלן ולמטרות ההסכם הזה כ- "רשימת הרכוש". </w:t>
      </w:r>
    </w:p>
    <w:p w:rsidR="00DD67DC" w:rsidRDefault="00DD67DC" w:rsidP="00722D2C">
      <w:pPr>
        <w:pStyle w:val="ad"/>
        <w:spacing w:after="120" w:line="360" w:lineRule="auto"/>
        <w:contextualSpacing w:val="0"/>
        <w:rPr>
          <w:b/>
          <w:bCs/>
          <w:rtl/>
        </w:rPr>
      </w:pPr>
      <w:r>
        <w:rPr>
          <w:rFonts w:hint="cs"/>
          <w:b/>
          <w:bCs/>
          <w:u w:val="single"/>
          <w:rtl/>
        </w:rPr>
        <w:t>כמו כן הכין המהנדס סוהייל סאבא מפה של הקרקע, המבנ</w:t>
      </w:r>
      <w:r w:rsidR="00722D2C">
        <w:rPr>
          <w:rFonts w:hint="cs"/>
          <w:b/>
          <w:bCs/>
          <w:u w:val="single"/>
          <w:rtl/>
        </w:rPr>
        <w:t xml:space="preserve">ה ודירות המגורים בשכונת </w:t>
      </w:r>
      <w:r w:rsidR="00722D2C">
        <w:rPr>
          <w:rFonts w:hint="cs"/>
          <w:b/>
          <w:bCs/>
          <w:rtl/>
        </w:rPr>
        <w:t>...</w:t>
      </w:r>
      <w:r>
        <w:rPr>
          <w:rFonts w:hint="cs"/>
          <w:b/>
          <w:bCs/>
          <w:rtl/>
        </w:rPr>
        <w:t xml:space="preserve">, </w:t>
      </w:r>
      <w:r>
        <w:rPr>
          <w:rFonts w:hint="cs"/>
          <w:b/>
          <w:bCs/>
          <w:u w:val="double"/>
          <w:rtl/>
        </w:rPr>
        <w:t>אשר מפרטת את חלקו של כל אחד מהאחים ברכוש הנ"ל</w:t>
      </w:r>
      <w:r>
        <w:rPr>
          <w:rFonts w:hint="cs"/>
          <w:b/>
          <w:bCs/>
          <w:rtl/>
        </w:rPr>
        <w:t xml:space="preserve">. מפה זו מצורפת להסכם בחלק בלתי נפרד ממנו </w:t>
      </w:r>
      <w:r>
        <w:rPr>
          <w:rFonts w:hint="cs"/>
          <w:b/>
          <w:bCs/>
          <w:u w:val="single"/>
          <w:rtl/>
        </w:rPr>
        <w:t>והיא מחייבת את כל האחים</w:t>
      </w:r>
      <w:r>
        <w:rPr>
          <w:rFonts w:hint="cs"/>
          <w:b/>
          <w:bCs/>
          <w:rtl/>
        </w:rPr>
        <w:t xml:space="preserve">, כשחתימתם על הסכם זה היא בבחינת אישור ואימות </w:t>
      </w:r>
      <w:r>
        <w:rPr>
          <w:rFonts w:hint="cs"/>
          <w:b/>
          <w:bCs/>
          <w:u w:val="double"/>
          <w:rtl/>
        </w:rPr>
        <w:t>לקבלת החלקים</w:t>
      </w:r>
      <w:r>
        <w:rPr>
          <w:rFonts w:hint="cs"/>
          <w:b/>
          <w:bCs/>
          <w:u w:val="single"/>
          <w:rtl/>
        </w:rPr>
        <w:t xml:space="preserve"> שלהם כפי שהבהירה המפה</w:t>
      </w:r>
      <w:r>
        <w:rPr>
          <w:rFonts w:hint="cs"/>
          <w:b/>
          <w:bCs/>
          <w:rtl/>
        </w:rPr>
        <w:t xml:space="preserve">. </w:t>
      </w:r>
    </w:p>
    <w:p w:rsidR="00DD67DC" w:rsidRDefault="00DD67DC" w:rsidP="00DD67DC">
      <w:pPr>
        <w:pStyle w:val="ad"/>
        <w:spacing w:after="120" w:line="360" w:lineRule="auto"/>
        <w:contextualSpacing w:val="0"/>
        <w:rPr>
          <w:b/>
          <w:bCs/>
          <w:rtl/>
        </w:rPr>
      </w:pPr>
      <w:r>
        <w:rPr>
          <w:rFonts w:hint="cs"/>
          <w:b/>
          <w:bCs/>
          <w:rtl/>
        </w:rPr>
        <w:t xml:space="preserve">3. לאחר דיון והבנה בין האחים הוסכם על </w:t>
      </w:r>
      <w:r>
        <w:rPr>
          <w:rFonts w:hint="cs"/>
          <w:b/>
          <w:bCs/>
          <w:u w:val="single"/>
          <w:rtl/>
        </w:rPr>
        <w:t>חלוקת הרכוש</w:t>
      </w:r>
      <w:r>
        <w:rPr>
          <w:rFonts w:hint="cs"/>
          <w:b/>
          <w:bCs/>
          <w:rtl/>
        </w:rPr>
        <w:t xml:space="preserve"> המובהר ברשימת הרכוש בצורה הבאה:</w:t>
      </w:r>
    </w:p>
    <w:p w:rsidR="00DD67DC" w:rsidRDefault="00722D2C" w:rsidP="00DD67DC">
      <w:pPr>
        <w:pStyle w:val="ad"/>
        <w:spacing w:after="120" w:line="360" w:lineRule="auto"/>
        <w:ind w:firstLine="720"/>
        <w:contextualSpacing w:val="0"/>
        <w:rPr>
          <w:b/>
          <w:bCs/>
          <w:rtl/>
        </w:rPr>
      </w:pPr>
      <w:r>
        <w:rPr>
          <w:rFonts w:hint="cs"/>
          <w:b/>
          <w:bCs/>
          <w:rtl/>
        </w:rPr>
        <w:t>א. חלקו של האח ג'</w:t>
      </w:r>
      <w:r w:rsidR="00DD67DC">
        <w:rPr>
          <w:rFonts w:hint="cs"/>
          <w:b/>
          <w:bCs/>
          <w:rtl/>
        </w:rPr>
        <w:t xml:space="preserve">: </w:t>
      </w:r>
    </w:p>
    <w:p w:rsidR="00DD67DC" w:rsidRDefault="00DD67DC" w:rsidP="00DD67DC">
      <w:pPr>
        <w:pStyle w:val="ad"/>
        <w:spacing w:after="120" w:line="360" w:lineRule="auto"/>
        <w:ind w:left="1440"/>
        <w:contextualSpacing w:val="0"/>
        <w:rPr>
          <w:b/>
          <w:bCs/>
          <w:rtl/>
        </w:rPr>
      </w:pPr>
      <w:r>
        <w:rPr>
          <w:rFonts w:hint="cs"/>
          <w:b/>
          <w:bCs/>
          <w:rtl/>
        </w:rPr>
        <w:t>1) המבנה...המסומן כמבנה מספר 1 במפה המצורפת...בצבע אדום במפה האמורה לעיל ...</w:t>
      </w:r>
    </w:p>
    <w:p w:rsidR="00DD67DC" w:rsidRDefault="00DD67DC" w:rsidP="00DD67DC">
      <w:pPr>
        <w:spacing w:after="120" w:line="360" w:lineRule="auto"/>
        <w:jc w:val="both"/>
        <w:rPr>
          <w:rtl/>
        </w:rPr>
      </w:pPr>
      <w:r>
        <w:rPr>
          <w:rFonts w:hint="cs"/>
          <w:b/>
          <w:bCs/>
          <w:rtl/>
        </w:rPr>
        <w:tab/>
      </w:r>
      <w:r>
        <w:rPr>
          <w:rFonts w:hint="cs"/>
          <w:b/>
          <w:bCs/>
          <w:rtl/>
        </w:rPr>
        <w:tab/>
      </w:r>
      <w:r>
        <w:rPr>
          <w:rFonts w:hint="cs"/>
          <w:rtl/>
        </w:rPr>
        <w:t>[בהמשך מפורטים נכסים אחרים המחולקים בין כלל האחים]</w:t>
      </w:r>
    </w:p>
    <w:p w:rsidR="00DD67DC" w:rsidRDefault="00DD67DC" w:rsidP="00DD67DC">
      <w:pPr>
        <w:spacing w:after="120" w:line="360" w:lineRule="auto"/>
        <w:jc w:val="both"/>
        <w:rPr>
          <w:b/>
          <w:bCs/>
          <w:rtl/>
        </w:rPr>
      </w:pPr>
      <w:r>
        <w:rPr>
          <w:rFonts w:hint="cs"/>
          <w:rtl/>
        </w:rPr>
        <w:tab/>
      </w:r>
      <w:r>
        <w:rPr>
          <w:rFonts w:hint="cs"/>
          <w:b/>
          <w:bCs/>
          <w:rtl/>
        </w:rPr>
        <w:t>....</w:t>
      </w:r>
    </w:p>
    <w:p w:rsidR="00DD67DC" w:rsidRDefault="00DD67DC" w:rsidP="00DD67DC">
      <w:pPr>
        <w:pStyle w:val="ad"/>
        <w:spacing w:after="120" w:line="360" w:lineRule="auto"/>
        <w:contextualSpacing w:val="0"/>
        <w:rPr>
          <w:b/>
          <w:bCs/>
          <w:rtl/>
        </w:rPr>
      </w:pPr>
      <w:r>
        <w:rPr>
          <w:rFonts w:hint="cs"/>
          <w:b/>
          <w:bCs/>
          <w:rtl/>
        </w:rPr>
        <w:t xml:space="preserve">6. כל אחד מן האחים </w:t>
      </w:r>
      <w:r>
        <w:rPr>
          <w:rFonts w:hint="cs"/>
          <w:b/>
          <w:bCs/>
          <w:u w:val="single"/>
          <w:rtl/>
        </w:rPr>
        <w:t>מתחייב לחתום על כל המסמכים</w:t>
      </w:r>
      <w:r>
        <w:rPr>
          <w:rFonts w:hint="cs"/>
          <w:b/>
          <w:bCs/>
          <w:rtl/>
        </w:rPr>
        <w:t xml:space="preserve">, התצהירים, הניירות והפעולות הנדרשות לשם השלמה </w:t>
      </w:r>
      <w:r>
        <w:rPr>
          <w:rFonts w:hint="cs"/>
          <w:b/>
          <w:bCs/>
          <w:u w:val="single"/>
          <w:rtl/>
        </w:rPr>
        <w:t>ומימוש של סעיפי ההסכם הזה</w:t>
      </w:r>
      <w:r>
        <w:rPr>
          <w:rFonts w:hint="cs"/>
          <w:b/>
          <w:bCs/>
          <w:rtl/>
        </w:rPr>
        <w:t>.</w:t>
      </w:r>
    </w:p>
    <w:p w:rsidR="00DD67DC" w:rsidRDefault="00DD67DC" w:rsidP="00DD67DC">
      <w:pPr>
        <w:pStyle w:val="ad"/>
        <w:spacing w:after="120" w:line="360" w:lineRule="auto"/>
        <w:contextualSpacing w:val="0"/>
        <w:rPr>
          <w:rtl/>
        </w:rPr>
      </w:pPr>
      <w:r>
        <w:rPr>
          <w:rFonts w:hint="cs"/>
          <w:b/>
          <w:bCs/>
          <w:rtl/>
        </w:rPr>
        <w:t xml:space="preserve">7. </w:t>
      </w:r>
      <w:r>
        <w:rPr>
          <w:rFonts w:hint="cs"/>
          <w:b/>
          <w:bCs/>
          <w:u w:val="single"/>
          <w:rtl/>
        </w:rPr>
        <w:t>כל אחד מן האחים מצהיר</w:t>
      </w:r>
      <w:r>
        <w:rPr>
          <w:rFonts w:hint="cs"/>
          <w:b/>
          <w:bCs/>
          <w:rtl/>
        </w:rPr>
        <w:t xml:space="preserve">, כי בחתימתו על הסכם זה </w:t>
      </w:r>
      <w:r>
        <w:rPr>
          <w:rFonts w:hint="cs"/>
          <w:b/>
          <w:bCs/>
          <w:u w:val="double"/>
          <w:rtl/>
        </w:rPr>
        <w:t>הוא קיבל את חלקו</w:t>
      </w:r>
      <w:r>
        <w:rPr>
          <w:rFonts w:hint="cs"/>
          <w:b/>
          <w:bCs/>
          <w:rtl/>
        </w:rPr>
        <w:t xml:space="preserve"> בשותפות של האחרים במלואו והוא מוותר בוויתור מוחלט על כל טענה או דרישה או זכויות של צד שלישי אשר ניתנו לו על פי הסכם זה." </w:t>
      </w:r>
    </w:p>
    <w:p w:rsidR="00DD67DC" w:rsidRDefault="00DD67DC" w:rsidP="00DD67DC">
      <w:pPr>
        <w:pStyle w:val="ad"/>
        <w:numPr>
          <w:ilvl w:val="0"/>
          <w:numId w:val="1"/>
        </w:numPr>
        <w:spacing w:after="120" w:line="360" w:lineRule="auto"/>
        <w:ind w:left="368"/>
        <w:contextualSpacing w:val="0"/>
        <w:rPr>
          <w:rtl/>
        </w:rPr>
      </w:pPr>
      <w:r>
        <w:rPr>
          <w:rFonts w:hint="cs"/>
          <w:rtl/>
        </w:rPr>
        <w:t xml:space="preserve">בנוסף, ביום 14.7.08 אושר הסכם פשרה בהליך משפטי אחר שהתקיים בין אחד מהאחים לבין יתר האחרים כולל עיזבון האח המנוח, ובו נרשם כדלקמן: </w:t>
      </w:r>
    </w:p>
    <w:p w:rsidR="00DD67DC" w:rsidRDefault="00722D2C" w:rsidP="00722D2C">
      <w:pPr>
        <w:spacing w:after="120" w:line="360" w:lineRule="auto"/>
        <w:ind w:left="713"/>
        <w:jc w:val="both"/>
        <w:rPr>
          <w:b/>
          <w:bCs/>
        </w:rPr>
      </w:pPr>
      <w:r>
        <w:rPr>
          <w:rFonts w:hint="cs"/>
          <w:b/>
          <w:bCs/>
          <w:rtl/>
        </w:rPr>
        <w:t xml:space="preserve">"3. דיירי הבית ברחוב </w:t>
      </w:r>
      <w:r>
        <w:rPr>
          <w:rFonts w:hint="cs"/>
          <w:b/>
          <w:bCs/>
        </w:rPr>
        <w:t>XXX</w:t>
      </w:r>
      <w:r>
        <w:rPr>
          <w:rFonts w:hint="cs"/>
          <w:b/>
          <w:bCs/>
          <w:rtl/>
        </w:rPr>
        <w:t>, ל. ש, ח. ש, א. ש, ל. ש  ומ. ש</w:t>
      </w:r>
      <w:r w:rsidR="00DD67DC">
        <w:rPr>
          <w:rFonts w:hint="cs"/>
          <w:b/>
          <w:bCs/>
          <w:rtl/>
        </w:rPr>
        <w:t xml:space="preserve"> (להלן: "הדיירים") יפעלו במשותף </w:t>
      </w:r>
      <w:r w:rsidR="00DD67DC">
        <w:rPr>
          <w:rFonts w:hint="cs"/>
          <w:b/>
          <w:bCs/>
          <w:u w:val="single"/>
          <w:rtl/>
        </w:rPr>
        <w:t>לרישום הבית כבית משותף</w:t>
      </w:r>
      <w:r w:rsidR="00DD67DC">
        <w:rPr>
          <w:rFonts w:hint="cs"/>
          <w:b/>
          <w:bCs/>
          <w:rtl/>
        </w:rPr>
        <w:t xml:space="preserve"> בפרק זמן שלא יעלה על 18 חודשים. </w:t>
      </w:r>
    </w:p>
    <w:p w:rsidR="00DD67DC" w:rsidRDefault="00DD67DC" w:rsidP="00DD67DC">
      <w:pPr>
        <w:spacing w:after="120" w:line="360" w:lineRule="auto"/>
        <w:ind w:left="713"/>
        <w:jc w:val="both"/>
        <w:rPr>
          <w:b/>
          <w:bCs/>
          <w:rtl/>
        </w:rPr>
      </w:pPr>
      <w:r>
        <w:rPr>
          <w:rFonts w:hint="cs"/>
          <w:b/>
          <w:bCs/>
          <w:rtl/>
        </w:rPr>
        <w:t>.....</w:t>
      </w:r>
    </w:p>
    <w:p w:rsidR="00DD67DC" w:rsidRDefault="00DD67DC" w:rsidP="00DD67DC">
      <w:pPr>
        <w:spacing w:after="120" w:line="360" w:lineRule="auto"/>
        <w:ind w:left="713"/>
        <w:jc w:val="both"/>
        <w:rPr>
          <w:b/>
          <w:bCs/>
          <w:rtl/>
        </w:rPr>
      </w:pPr>
      <w:r>
        <w:rPr>
          <w:rFonts w:hint="cs"/>
          <w:b/>
          <w:bCs/>
          <w:rtl/>
        </w:rPr>
        <w:lastRenderedPageBreak/>
        <w:t xml:space="preserve">4. </w:t>
      </w:r>
      <w:r>
        <w:rPr>
          <w:rFonts w:hint="cs"/>
          <w:b/>
          <w:bCs/>
          <w:u w:val="single"/>
          <w:rtl/>
        </w:rPr>
        <w:t>הדיירים מתחייבים לשתף פעולה בכל הקשור לרישום הבית המשותף</w:t>
      </w:r>
      <w:r>
        <w:rPr>
          <w:rFonts w:hint="cs"/>
          <w:b/>
          <w:bCs/>
          <w:rtl/>
        </w:rPr>
        <w:t xml:space="preserve"> ולחתום על כל מסמך אשר יידרש לשם השלמת ההליך. ....</w:t>
      </w:r>
    </w:p>
    <w:p w:rsidR="00DD67DC" w:rsidRDefault="00DD67DC" w:rsidP="00DD67DC">
      <w:pPr>
        <w:spacing w:after="120" w:line="360" w:lineRule="auto"/>
        <w:ind w:left="713"/>
        <w:jc w:val="both"/>
        <w:rPr>
          <w:b/>
          <w:bCs/>
          <w:rtl/>
        </w:rPr>
      </w:pPr>
      <w:r>
        <w:rPr>
          <w:rFonts w:hint="cs"/>
          <w:b/>
          <w:bCs/>
          <w:rtl/>
        </w:rPr>
        <w:t xml:space="preserve">5. מעבר לאמור בהסכם זה ובכפוף לביצועו, מצהירים הצדדים כי </w:t>
      </w:r>
      <w:r>
        <w:rPr>
          <w:rFonts w:hint="cs"/>
          <w:b/>
          <w:bCs/>
          <w:u w:val="single"/>
          <w:rtl/>
        </w:rPr>
        <w:t>אין ולא תהיינה להם כל תביעות ו/או טענות מכל מין וסוג שהוא,</w:t>
      </w:r>
      <w:r>
        <w:rPr>
          <w:rFonts w:hint="cs"/>
          <w:b/>
          <w:bCs/>
          <w:rtl/>
        </w:rPr>
        <w:t xml:space="preserve"> האחד כלפי משנהו, וכי הסכם זה מהווה הסדר סופי ומוחלט של כל תביעותיהם ההדדיות באשר הן</w:t>
      </w:r>
      <w:r w:rsidR="00922CFE">
        <w:rPr>
          <w:rFonts w:hint="cs"/>
          <w:b/>
          <w:bCs/>
          <w:rtl/>
        </w:rPr>
        <w:t>"</w:t>
      </w:r>
      <w:r>
        <w:rPr>
          <w:rFonts w:hint="cs"/>
          <w:b/>
          <w:bCs/>
          <w:rtl/>
        </w:rPr>
        <w:t xml:space="preserve">. </w:t>
      </w:r>
    </w:p>
    <w:p w:rsidR="00DD67DC" w:rsidRDefault="00DD67DC" w:rsidP="007D0B06">
      <w:pPr>
        <w:pStyle w:val="ad"/>
        <w:numPr>
          <w:ilvl w:val="0"/>
          <w:numId w:val="1"/>
        </w:numPr>
        <w:spacing w:after="120" w:line="360" w:lineRule="auto"/>
        <w:ind w:left="368"/>
        <w:contextualSpacing w:val="0"/>
      </w:pPr>
      <w:r>
        <w:rPr>
          <w:rFonts w:hint="cs"/>
          <w:rtl/>
        </w:rPr>
        <w:t xml:space="preserve">ביום 2.12.20 הגישה האלמנה את תביעתה כנגד האחים לבימ"ש קמא ועתרה לאכוף את הוראות ההסכם והתשריט המצורף אליו, כאשר בסעד העיקרי ציינה </w:t>
      </w:r>
      <w:r w:rsidRPr="00DD67DC">
        <w:rPr>
          <w:rFonts w:hint="cs"/>
          <w:b/>
          <w:bCs/>
          <w:rtl/>
        </w:rPr>
        <w:t>"לרשום את הסכם השיתוף והמפה בלשכת רישום מקרקעין"</w:t>
      </w:r>
      <w:r>
        <w:rPr>
          <w:rFonts w:hint="cs"/>
          <w:rtl/>
        </w:rPr>
        <w:t xml:space="preserve"> וכסעד חילופי ביקשה </w:t>
      </w:r>
      <w:r w:rsidRPr="00DD67DC">
        <w:rPr>
          <w:rFonts w:hint="cs"/>
          <w:b/>
          <w:bCs/>
          <w:rtl/>
        </w:rPr>
        <w:t>"להורות על פירוק שיתוף במגרש ולהורות על רישום הסכם השיתוף והמפה בלשכת רישום מקרקעין"</w:t>
      </w:r>
      <w:r>
        <w:rPr>
          <w:rFonts w:hint="cs"/>
          <w:rtl/>
        </w:rPr>
        <w:t xml:space="preserve"> ובהמשך </w:t>
      </w:r>
      <w:r w:rsidRPr="00DD67DC">
        <w:rPr>
          <w:rFonts w:hint="cs"/>
          <w:b/>
          <w:bCs/>
          <w:rtl/>
        </w:rPr>
        <w:t>"ליתן כל הוראה משלימה לצורך רישום הבית כבית משותף"</w:t>
      </w:r>
      <w:r>
        <w:rPr>
          <w:rFonts w:hint="cs"/>
          <w:rtl/>
        </w:rPr>
        <w:t>.</w:t>
      </w:r>
    </w:p>
    <w:p w:rsidR="00DD67DC" w:rsidRDefault="00DD67DC" w:rsidP="00DD67DC">
      <w:pPr>
        <w:pStyle w:val="ad"/>
        <w:numPr>
          <w:ilvl w:val="0"/>
          <w:numId w:val="1"/>
        </w:numPr>
        <w:spacing w:after="120" w:line="360" w:lineRule="auto"/>
        <w:ind w:left="368"/>
        <w:contextualSpacing w:val="0"/>
      </w:pPr>
      <w:r>
        <w:rPr>
          <w:rFonts w:hint="cs"/>
          <w:rtl/>
        </w:rPr>
        <w:t>בכתב הגנתם טענו האחים בין היתר כי התשריט הינו מזוייף, ובכל מקרה אין המדובר בהסכם חלוקה קנייני מחייב אלא לכל היותר בהסכם שיתוף המסדיר את אופן השימוש במגרש, מבלי להסדיר חלוקה קניינית במגרש.</w:t>
      </w:r>
    </w:p>
    <w:p w:rsidR="00DD67DC" w:rsidRDefault="00DD67DC" w:rsidP="00DD67DC">
      <w:pPr>
        <w:pStyle w:val="ad"/>
        <w:spacing w:after="120" w:line="360" w:lineRule="auto"/>
        <w:contextualSpacing w:val="0"/>
      </w:pPr>
    </w:p>
    <w:p w:rsidR="00DD67DC" w:rsidRDefault="00DD67DC" w:rsidP="00DD67DC">
      <w:pPr>
        <w:spacing w:after="120" w:line="360" w:lineRule="auto"/>
        <w:jc w:val="both"/>
        <w:rPr>
          <w:rtl/>
        </w:rPr>
      </w:pPr>
      <w:r>
        <w:rPr>
          <w:rFonts w:hint="cs"/>
          <w:b/>
          <w:bCs/>
          <w:u w:val="single"/>
          <w:rtl/>
        </w:rPr>
        <w:t>עיקרו של פס"ד קמא</w:t>
      </w:r>
    </w:p>
    <w:p w:rsidR="00DD67DC" w:rsidRDefault="00DD67DC" w:rsidP="00D62052">
      <w:pPr>
        <w:pStyle w:val="ad"/>
        <w:numPr>
          <w:ilvl w:val="0"/>
          <w:numId w:val="1"/>
        </w:numPr>
        <w:spacing w:after="120" w:line="360" w:lineRule="auto"/>
        <w:ind w:left="368"/>
        <w:contextualSpacing w:val="0"/>
      </w:pPr>
      <w:r>
        <w:rPr>
          <w:rFonts w:hint="cs"/>
          <w:rtl/>
        </w:rPr>
        <w:t>תחילה הסיר בימ"ש קמא מעליו את המכשול של טענת הזיוף וזאת באמצעות חוו"ד מומחית מטעם ביהמ"ש, אשר שללה את טענת הזיוף; האחים לא ראו לנכון לזמן את המומחית לחקירה, ולאחר קיום הוכחות בתיק, במהלכו שמע בימ"ש קמא עדויות שונות ורבות, לרבות עדותו של המהנדס עורך התשריט וכן עדותו של עו"ד מטאנס אשר ערך את ההסכם, קבע בימ"ש קמא באופן חד משמעי כי לא עלה בידי האחים להוכיח את טענת הזיוף ועל כן הינו דוחה טענה זו. האחים אינם מערערים על קביעה זו של בימ"ש קמא.</w:t>
      </w:r>
    </w:p>
    <w:p w:rsidR="00DD67DC" w:rsidRDefault="00DD67DC" w:rsidP="00DD67DC">
      <w:pPr>
        <w:pStyle w:val="ad"/>
        <w:numPr>
          <w:ilvl w:val="0"/>
          <w:numId w:val="1"/>
        </w:numPr>
        <w:spacing w:after="120" w:line="360" w:lineRule="auto"/>
        <w:ind w:left="368"/>
        <w:contextualSpacing w:val="0"/>
        <w:rPr>
          <w:rtl/>
        </w:rPr>
      </w:pPr>
      <w:r>
        <w:rPr>
          <w:rFonts w:hint="cs"/>
          <w:rtl/>
        </w:rPr>
        <w:t xml:space="preserve">לאחר שבימ"ש קמא שלל את טענת הזיוף, בחן בימ"ש קמא את ההסכמים והתשריט, ולאחר שסקר בפסה"ד באריכות ובאופן מפורט את העובדות בתיק בצד החוק והפסיקה, הגיע למסקנה כי כוונת הצדדים בהסכם הייתה </w:t>
      </w:r>
      <w:r>
        <w:rPr>
          <w:rFonts w:hint="cs"/>
          <w:u w:val="single"/>
          <w:rtl/>
        </w:rPr>
        <w:t>ליצור חלוקה קניינית</w:t>
      </w:r>
      <w:r>
        <w:rPr>
          <w:rFonts w:hint="cs"/>
          <w:rtl/>
        </w:rPr>
        <w:t xml:space="preserve"> ולא רק להסדיר את אופן השימוש, ועל כן הכריע וקבע כי ההסכם הינו </w:t>
      </w:r>
      <w:r>
        <w:rPr>
          <w:rFonts w:hint="cs"/>
          <w:b/>
          <w:bCs/>
          <w:u w:val="single"/>
          <w:rtl/>
        </w:rPr>
        <w:t>הסכם חלוקה קנייני מחייב</w:t>
      </w:r>
      <w:r>
        <w:rPr>
          <w:rFonts w:hint="cs"/>
          <w:rtl/>
        </w:rPr>
        <w:t xml:space="preserve"> ולא הסכם שיתוף בלבד, </w:t>
      </w:r>
      <w:r>
        <w:rPr>
          <w:rFonts w:hint="cs"/>
          <w:u w:val="single"/>
          <w:rtl/>
        </w:rPr>
        <w:t>הסכם שלמעשה מגדיר את חלקם הקנייני של כלל האחים במגרש</w:t>
      </w:r>
      <w:r>
        <w:rPr>
          <w:rFonts w:hint="cs"/>
          <w:rtl/>
        </w:rPr>
        <w:t xml:space="preserve">, תוך </w:t>
      </w:r>
      <w:r>
        <w:rPr>
          <w:rFonts w:hint="cs"/>
          <w:u w:val="single"/>
          <w:rtl/>
        </w:rPr>
        <w:t>שיוך</w:t>
      </w:r>
      <w:r>
        <w:rPr>
          <w:rFonts w:hint="cs"/>
          <w:rtl/>
        </w:rPr>
        <w:t xml:space="preserve"> חלקים ספציפיים; ובלשונו של בימ"ש קמא בסעיפים 78-80 לפסק הדין:</w:t>
      </w:r>
    </w:p>
    <w:p w:rsidR="00DD67DC" w:rsidRDefault="00DD67DC" w:rsidP="00DD67DC">
      <w:pPr>
        <w:pStyle w:val="ad"/>
        <w:numPr>
          <w:ilvl w:val="0"/>
          <w:numId w:val="2"/>
        </w:numPr>
        <w:spacing w:after="120" w:line="360" w:lineRule="auto"/>
        <w:contextualSpacing w:val="0"/>
        <w:rPr>
          <w:rFonts w:ascii="Aharoni" w:hAnsi="Aharoni" w:cs="Aharoni"/>
          <w:color w:val="0D0D0D"/>
          <w:lang w:eastAsia="he-IL"/>
        </w:rPr>
      </w:pPr>
      <w:r>
        <w:rPr>
          <w:rFonts w:ascii="Aharoni" w:hAnsi="Aharoni" w:cs="Aharoni"/>
          <w:rtl/>
        </w:rPr>
        <w:t>"</w:t>
      </w:r>
      <w:r>
        <w:rPr>
          <w:rFonts w:ascii="Aharoni" w:hAnsi="Aharoni" w:cs="Aharoni"/>
          <w:b/>
          <w:bCs/>
          <w:color w:val="0D0D0D"/>
          <w:rtl/>
          <w:lang w:eastAsia="he-IL"/>
        </w:rPr>
        <w:t>לסיכום</w:t>
      </w:r>
      <w:r>
        <w:rPr>
          <w:rFonts w:ascii="Aharoni" w:hAnsi="Aharoni" w:cs="Aharoni"/>
          <w:color w:val="0D0D0D"/>
          <w:rtl/>
          <w:lang w:eastAsia="he-IL"/>
        </w:rPr>
        <w:t xml:space="preserve"> – </w:t>
      </w:r>
      <w:r>
        <w:rPr>
          <w:rFonts w:ascii="Aharoni" w:hAnsi="Aharoni" w:cs="Aharoni"/>
          <w:color w:val="0D0D0D"/>
          <w:u w:val="single"/>
          <w:rtl/>
          <w:lang w:eastAsia="he-IL"/>
        </w:rPr>
        <w:t>כלל הראיות שהוצגו על יד הצדדים מובילות למסקנה</w:t>
      </w:r>
      <w:r>
        <w:rPr>
          <w:rFonts w:ascii="Aharoni" w:hAnsi="Aharoni" w:cs="Aharoni"/>
          <w:color w:val="0D0D0D"/>
          <w:rtl/>
          <w:lang w:eastAsia="he-IL"/>
        </w:rPr>
        <w:t xml:space="preserve"> כי תשריט החלוקה מהווה מעין הסכם בין הצדדים לצורך </w:t>
      </w:r>
      <w:r>
        <w:rPr>
          <w:rFonts w:ascii="Aharoni" w:hAnsi="Aharoni" w:cs="Aharoni"/>
          <w:color w:val="0D0D0D"/>
          <w:u w:val="single"/>
          <w:rtl/>
          <w:lang w:eastAsia="he-IL"/>
        </w:rPr>
        <w:t>חלוקה סופית של המקרקעין</w:t>
      </w:r>
      <w:r>
        <w:rPr>
          <w:rFonts w:ascii="Aharoni" w:hAnsi="Aharoni" w:cs="Aharoni"/>
          <w:color w:val="0D0D0D"/>
          <w:rtl/>
          <w:lang w:eastAsia="he-IL"/>
        </w:rPr>
        <w:t xml:space="preserve"> (פירוק השיתוף). התשריט אינו עומד לבד ומלווה בהסכם בכתב.</w:t>
      </w:r>
    </w:p>
    <w:p w:rsidR="00DD67DC" w:rsidRDefault="00DD67DC" w:rsidP="00DD67DC">
      <w:pPr>
        <w:pStyle w:val="ad"/>
        <w:numPr>
          <w:ilvl w:val="0"/>
          <w:numId w:val="2"/>
        </w:numPr>
        <w:spacing w:after="120" w:line="360" w:lineRule="auto"/>
        <w:contextualSpacing w:val="0"/>
        <w:rPr>
          <w:rFonts w:ascii="Aharoni" w:hAnsi="Aharoni" w:cs="Aharoni"/>
          <w:color w:val="0D0D0D"/>
          <w:lang w:eastAsia="he-IL"/>
        </w:rPr>
      </w:pPr>
      <w:r>
        <w:rPr>
          <w:rFonts w:ascii="Aharoni" w:hAnsi="Aharoni" w:cs="Aharoni"/>
          <w:color w:val="0D0D0D"/>
          <w:rtl/>
          <w:lang w:eastAsia="he-IL"/>
        </w:rPr>
        <w:t xml:space="preserve">אכן התוכנית לא אושרה בהתאם להוראות הדין ויש צורך בהשגת אישורים נוספים. בנסיבות העניין, החלוקה תוכל להמשיך ולהתקיים </w:t>
      </w:r>
      <w:r>
        <w:rPr>
          <w:rFonts w:ascii="Aharoni" w:hAnsi="Aharoni" w:cs="Aharoni"/>
          <w:color w:val="0D0D0D"/>
          <w:u w:val="single"/>
          <w:rtl/>
          <w:lang w:eastAsia="he-IL"/>
        </w:rPr>
        <w:t>בכפוף לאישורים הנדרשים על פי חוק</w:t>
      </w:r>
      <w:r>
        <w:rPr>
          <w:rFonts w:ascii="Aharoni" w:hAnsi="Aharoni" w:cs="Aharoni"/>
          <w:color w:val="0D0D0D"/>
          <w:rtl/>
          <w:lang w:eastAsia="he-IL"/>
        </w:rPr>
        <w:t xml:space="preserve">. כלל הנימוקים והראיות שהובאו בתיק זה </w:t>
      </w:r>
      <w:r>
        <w:rPr>
          <w:rFonts w:ascii="Aharoni" w:hAnsi="Aharoni" w:cs="Aharoni"/>
          <w:color w:val="0D0D0D"/>
          <w:u w:val="single"/>
          <w:rtl/>
          <w:lang w:eastAsia="he-IL"/>
        </w:rPr>
        <w:t>כוחם יפה להוכיח כי תשריט החלוקה מהווה חלוקה סופית בין הצדדים</w:t>
      </w:r>
      <w:r>
        <w:rPr>
          <w:rFonts w:ascii="Aharoni" w:hAnsi="Aharoni" w:cs="Aharoni"/>
          <w:color w:val="0D0D0D"/>
          <w:rtl/>
          <w:lang w:eastAsia="he-IL"/>
        </w:rPr>
        <w:t xml:space="preserve"> </w:t>
      </w:r>
      <w:r>
        <w:rPr>
          <w:rFonts w:ascii="Aharoni" w:hAnsi="Aharoni" w:cs="Aharoni"/>
          <w:b/>
          <w:bCs/>
          <w:color w:val="0D0D0D"/>
          <w:rtl/>
          <w:lang w:eastAsia="he-IL"/>
        </w:rPr>
        <w:t>ולא הסכם שימוש בלבד</w:t>
      </w:r>
      <w:r>
        <w:rPr>
          <w:rFonts w:ascii="Aharoni" w:hAnsi="Aharoni" w:cs="Aharoni"/>
          <w:color w:val="0D0D0D"/>
          <w:rtl/>
          <w:lang w:eastAsia="he-IL"/>
        </w:rPr>
        <w:t xml:space="preserve">. הדבר מתיישב </w:t>
      </w:r>
      <w:r w:rsidR="00922CFE">
        <w:rPr>
          <w:rFonts w:ascii="Aharoni" w:hAnsi="Aharoni" w:cs="Aharoni"/>
          <w:color w:val="0D0D0D"/>
          <w:rtl/>
          <w:lang w:eastAsia="he-IL"/>
        </w:rPr>
        <w:t>עם הוראות ההסכם לפיהן על ג'</w:t>
      </w:r>
      <w:r w:rsidR="00922CFE">
        <w:rPr>
          <w:rFonts w:ascii="Aharoni" w:hAnsi="Aharoni" w:cs="Aharoni" w:hint="cs"/>
          <w:color w:val="0D0D0D"/>
          <w:rtl/>
          <w:lang w:eastAsia="he-IL"/>
        </w:rPr>
        <w:t xml:space="preserve"> </w:t>
      </w:r>
      <w:r>
        <w:rPr>
          <w:rFonts w:ascii="Aharoni" w:hAnsi="Aharoni" w:cs="Aharoni"/>
          <w:color w:val="0D0D0D"/>
          <w:rtl/>
          <w:lang w:eastAsia="he-IL"/>
        </w:rPr>
        <w:t>הוטלה משימת השלמת הרישום, בדרך של הכנת תשריט נוסף או השגת אישורים והדבר אינו נוגד כלל את היות החלוקה סופית.</w:t>
      </w:r>
    </w:p>
    <w:p w:rsidR="00DD67DC" w:rsidRPr="00CC72AE" w:rsidRDefault="00DD67DC" w:rsidP="006F20B5">
      <w:pPr>
        <w:numPr>
          <w:ilvl w:val="0"/>
          <w:numId w:val="2"/>
        </w:numPr>
        <w:spacing w:after="120" w:line="360" w:lineRule="auto"/>
        <w:jc w:val="both"/>
        <w:rPr>
          <w:rFonts w:ascii="Aharoni" w:hAnsi="Aharoni" w:cs="Aharoni"/>
          <w:color w:val="0D0D0D"/>
          <w:lang w:eastAsia="he-IL"/>
        </w:rPr>
      </w:pPr>
      <w:r w:rsidRPr="00CC72AE">
        <w:rPr>
          <w:rFonts w:ascii="Aharoni" w:hAnsi="Aharoni" w:cs="Aharoni"/>
          <w:color w:val="0D0D0D"/>
          <w:rtl/>
          <w:lang w:eastAsia="he-IL"/>
        </w:rPr>
        <w:lastRenderedPageBreak/>
        <w:t xml:space="preserve">אדגיש שוב, לא נמצא כל הסבר אחר מניח את הדעת שפעולות הוויתור שנעשו על ידי הצדדים המתבטאות בהסכמי 1980  נעשו למטרה אחרת מלבד התאמת המצב הקיים (השטחים המוחזקים על ידי הצדדים) בהתאם להקצאות בתשריט החלוקה, בהמשך למצב בספרי לשכת רישום המקרקעין. </w:t>
      </w:r>
    </w:p>
    <w:p w:rsidR="00DD67DC" w:rsidRDefault="00DD67DC" w:rsidP="00DD67DC">
      <w:pPr>
        <w:pStyle w:val="ad"/>
        <w:numPr>
          <w:ilvl w:val="0"/>
          <w:numId w:val="1"/>
        </w:numPr>
        <w:spacing w:after="120" w:line="360" w:lineRule="auto"/>
        <w:ind w:left="369"/>
        <w:contextualSpacing w:val="0"/>
      </w:pPr>
      <w:r>
        <w:rPr>
          <w:rFonts w:hint="cs"/>
          <w:rtl/>
        </w:rPr>
        <w:t>לאור האמור הורה בימ"ש קמא:</w:t>
      </w:r>
    </w:p>
    <w:p w:rsidR="00DD67DC" w:rsidRDefault="00DD67DC" w:rsidP="00DD67DC">
      <w:pPr>
        <w:spacing w:after="120" w:line="360" w:lineRule="auto"/>
        <w:ind w:left="369"/>
        <w:jc w:val="both"/>
        <w:rPr>
          <w:rFonts w:ascii="Aharoni" w:hAnsi="Aharoni" w:cs="Aharoni"/>
          <w:color w:val="0D0D0D"/>
          <w:rtl/>
          <w:lang w:eastAsia="he-IL"/>
        </w:rPr>
      </w:pPr>
      <w:r>
        <w:rPr>
          <w:rFonts w:ascii="Aharoni" w:hAnsi="Aharoni" w:cs="Aharoni"/>
          <w:color w:val="0D0D0D"/>
          <w:rtl/>
          <w:lang w:eastAsia="he-IL"/>
        </w:rPr>
        <w:t xml:space="preserve">"ניתן בזאת צו לפירוק השיתוף במקרקעין על ידי חלוקתם בדרך של רישום בית משותף, כמפורט בתשריט </w:t>
      </w:r>
      <w:r>
        <w:rPr>
          <w:rFonts w:ascii="Aharoni" w:hAnsi="Aharoni" w:cs="Aharoni"/>
          <w:rtl/>
        </w:rPr>
        <w:t xml:space="preserve">החלוקה החתום, </w:t>
      </w:r>
      <w:r>
        <w:rPr>
          <w:rFonts w:ascii="Aharoni" w:hAnsi="Aharoni" w:cs="Aharoni"/>
          <w:u w:val="single"/>
          <w:rtl/>
        </w:rPr>
        <w:t>בכפוף להשגת האישורים הנדרשים</w:t>
      </w:r>
      <w:r>
        <w:rPr>
          <w:rFonts w:ascii="Aharoni" w:hAnsi="Aharoni" w:cs="Aharoni"/>
          <w:rtl/>
        </w:rPr>
        <w:t xml:space="preserve"> או הכנת תשריט משלים. </w:t>
      </w:r>
    </w:p>
    <w:p w:rsidR="00DD67DC" w:rsidRDefault="00DD67DC" w:rsidP="00CC72AE">
      <w:pPr>
        <w:spacing w:after="120" w:line="360" w:lineRule="auto"/>
        <w:ind w:left="369"/>
        <w:jc w:val="both"/>
        <w:rPr>
          <w:rFonts w:ascii="Aharoni" w:hAnsi="Aharoni" w:cs="Aharoni"/>
          <w:color w:val="0D0D0D"/>
          <w:rtl/>
          <w:lang w:eastAsia="he-IL"/>
        </w:rPr>
      </w:pPr>
      <w:r>
        <w:rPr>
          <w:rFonts w:ascii="Aharoni" w:hAnsi="Aharoni" w:cs="Aharoni"/>
          <w:color w:val="0D0D0D"/>
          <w:rtl/>
          <w:lang w:eastAsia="he-IL"/>
        </w:rPr>
        <w:t>הצדדים ידאגו להגיש את התשריט מושא התביעה לאישור הועדה לתכנון ובנייה בהתאם להוראת</w:t>
      </w:r>
      <w:r>
        <w:rPr>
          <w:rFonts w:ascii="Aharoni" w:hAnsi="Aharoni" w:cs="Aharoni"/>
          <w:rtl/>
        </w:rPr>
        <w:t xml:space="preserve"> ס' 38(א) לחוק המקרקעין וס' 143 לחוק התכנון והבניה."</w:t>
      </w:r>
    </w:p>
    <w:p w:rsidR="00DD67DC" w:rsidRDefault="00DD67DC" w:rsidP="00DD67DC">
      <w:pPr>
        <w:pStyle w:val="ad"/>
        <w:numPr>
          <w:ilvl w:val="0"/>
          <w:numId w:val="1"/>
        </w:numPr>
        <w:spacing w:after="120" w:line="360" w:lineRule="auto"/>
        <w:ind w:left="369"/>
        <w:contextualSpacing w:val="0"/>
        <w:rPr>
          <w:rtl/>
        </w:rPr>
      </w:pPr>
      <w:r>
        <w:rPr>
          <w:rFonts w:hint="cs"/>
          <w:rtl/>
        </w:rPr>
        <w:t>האחים-המערערים אינם מקבלים את תוצאות פסה"ד והגישו ערעורם זה.</w:t>
      </w:r>
    </w:p>
    <w:p w:rsidR="00DD67DC" w:rsidRDefault="00DD67DC" w:rsidP="00DD67DC">
      <w:pPr>
        <w:spacing w:after="120" w:line="360" w:lineRule="auto"/>
        <w:jc w:val="both"/>
        <w:rPr>
          <w:rtl/>
        </w:rPr>
      </w:pPr>
    </w:p>
    <w:p w:rsidR="00DD67DC" w:rsidRDefault="00DD67DC" w:rsidP="00CC72AE">
      <w:pPr>
        <w:spacing w:after="120" w:line="360" w:lineRule="auto"/>
        <w:jc w:val="both"/>
        <w:rPr>
          <w:rtl/>
        </w:rPr>
      </w:pPr>
      <w:r>
        <w:rPr>
          <w:rFonts w:hint="cs"/>
          <w:b/>
          <w:bCs/>
          <w:u w:val="single"/>
          <w:rtl/>
        </w:rPr>
        <w:t>תמצית טענות האחים-המערערים ודחיית טענותיהם</w:t>
      </w:r>
    </w:p>
    <w:p w:rsidR="00DD67DC" w:rsidRDefault="00DD67DC" w:rsidP="0061330F">
      <w:pPr>
        <w:pStyle w:val="ad"/>
        <w:numPr>
          <w:ilvl w:val="0"/>
          <w:numId w:val="1"/>
        </w:numPr>
        <w:spacing w:after="120" w:line="360" w:lineRule="auto"/>
        <w:ind w:left="369"/>
        <w:contextualSpacing w:val="0"/>
      </w:pPr>
      <w:r>
        <w:rPr>
          <w:rFonts w:hint="cs"/>
          <w:rtl/>
        </w:rPr>
        <w:t xml:space="preserve">המערערים משיגים על מסקנת בימ"ש קמא כי מדובר בהסכם חלוקה קנייני מחייב ולא בהסכם שיתוף המסדיר את אופן השימוש בלבד ללא חלוקה קניינית. אלא שכאמור מסקנת בימ"ש קמא כי </w:t>
      </w:r>
      <w:r w:rsidRPr="00CC72AE">
        <w:rPr>
          <w:rFonts w:hint="cs"/>
          <w:b/>
          <w:bCs/>
          <w:rtl/>
        </w:rPr>
        <w:t xml:space="preserve">הצדדים התכוונו ליצור הסכם חלוקה קנייני, </w:t>
      </w:r>
      <w:r>
        <w:rPr>
          <w:rFonts w:hint="cs"/>
          <w:rtl/>
        </w:rPr>
        <w:t xml:space="preserve">ולא רק הסכם שיתוף המסדיר את אופן השימוש בלבד, </w:t>
      </w:r>
      <w:r w:rsidRPr="00CC72AE">
        <w:rPr>
          <w:rFonts w:hint="cs"/>
          <w:b/>
          <w:bCs/>
          <w:rtl/>
        </w:rPr>
        <w:t>מבוססת על ממצאי עובדה ומהימנות בדבר כוונת הצדדים בעריכת ההסכמים ויישומם בשטח במשך השנים,</w:t>
      </w:r>
      <w:r>
        <w:rPr>
          <w:rFonts w:hint="cs"/>
          <w:rtl/>
        </w:rPr>
        <w:t xml:space="preserve"> כוונה הנלמדת- הן </w:t>
      </w:r>
      <w:r w:rsidRPr="00CC72AE">
        <w:rPr>
          <w:rFonts w:hint="cs"/>
          <w:u w:val="single"/>
          <w:rtl/>
        </w:rPr>
        <w:t>מהנסיבות העובדתיות</w:t>
      </w:r>
      <w:r>
        <w:rPr>
          <w:rFonts w:hint="cs"/>
          <w:rtl/>
        </w:rPr>
        <w:t xml:space="preserve"> כפי שהוכחו לבימ"ש קמא, והן </w:t>
      </w:r>
      <w:r w:rsidRPr="00CC72AE">
        <w:rPr>
          <w:rFonts w:hint="cs"/>
          <w:u w:val="single"/>
          <w:rtl/>
        </w:rPr>
        <w:t>מלשון ההסכמים</w:t>
      </w:r>
      <w:r w:rsidRPr="00CC72AE">
        <w:rPr>
          <w:rFonts w:hint="cs"/>
          <w:rtl/>
        </w:rPr>
        <w:t>:</w:t>
      </w:r>
      <w:r>
        <w:rPr>
          <w:rFonts w:hint="cs"/>
          <w:rtl/>
        </w:rPr>
        <w:t xml:space="preserve"> </w:t>
      </w:r>
    </w:p>
    <w:p w:rsidR="00DD67DC" w:rsidRDefault="00DD67DC" w:rsidP="00DD67DC">
      <w:pPr>
        <w:pStyle w:val="ad"/>
        <w:numPr>
          <w:ilvl w:val="0"/>
          <w:numId w:val="1"/>
        </w:numPr>
        <w:spacing w:after="120" w:line="360" w:lineRule="auto"/>
        <w:ind w:left="369"/>
        <w:contextualSpacing w:val="0"/>
      </w:pPr>
      <w:r>
        <w:rPr>
          <w:rFonts w:hint="cs"/>
          <w:b/>
          <w:bCs/>
          <w:u w:val="single"/>
          <w:rtl/>
        </w:rPr>
        <w:t>על כוונת הצדדים בעריכת ההסכמים ויישומם בשטח במשך השנים</w:t>
      </w:r>
      <w:r>
        <w:rPr>
          <w:rFonts w:hint="cs"/>
          <w:rtl/>
        </w:rPr>
        <w:t xml:space="preserve">- למד ביהמ"ש קמא מהראיות והעדויות כפי שהובאו בפניו (ראה הפירוט הנרחב המופיע החל מסעיף 67 לפסה"ד) ומהם גזר את מסקנתו כי אכן מדובר בהסכם חלוקה קנייני, ולא רק בהסכם שיתוף. </w:t>
      </w:r>
    </w:p>
    <w:p w:rsidR="00DD67DC" w:rsidRDefault="00DD67DC" w:rsidP="00CC72AE">
      <w:pPr>
        <w:pStyle w:val="ad"/>
        <w:spacing w:after="120" w:line="360" w:lineRule="auto"/>
        <w:ind w:left="369"/>
        <w:contextualSpacing w:val="0"/>
        <w:rPr>
          <w:noProof/>
          <w:sz w:val="20"/>
          <w:szCs w:val="20"/>
          <w:rtl/>
        </w:rPr>
      </w:pPr>
      <w:r>
        <w:rPr>
          <w:rFonts w:hint="cs"/>
          <w:rtl/>
        </w:rPr>
        <w:t xml:space="preserve">אמנם המערערים תוקפים את ממצאי העובדה והמהימנות שנקבעו בפסה"ד, ברם </w:t>
      </w:r>
      <w:r>
        <w:rPr>
          <w:rFonts w:hint="cs"/>
          <w:noProof/>
          <w:rtl/>
        </w:rPr>
        <w:t>בפסיקה נאמר לא אחת, כי הליך הערעור לא נועד לשמש במה לדיון מבראשית בטענות העובדתיות שנדונו והוכרעו על ידי הערכאה הדיונית, והתערבות ערכאת הערעור בקביעות עובדתיות ובממצאי מהימנות תיעשה בהתקיים נסיבות מיוחדות וחריגות בלבד, בהן מתגלה שגיאה בולטת על פני החלטתו של בימ"ש קמא. כך למשל כאשר ממצאי העובדה אינם מעוגנים כלל בחומר הראיות, או מקום שבו הגרסה העובדתית שאותה אימץ בימ"ש קמא אינה מתקבלת על הדעת ואינה מתיישבת עם מבחנים של היגיון ושכל ישר (</w:t>
      </w:r>
      <w:r>
        <w:rPr>
          <w:rFonts w:hint="cs"/>
          <w:b/>
          <w:bCs/>
          <w:noProof/>
          <w:u w:val="single"/>
          <w:rtl/>
        </w:rPr>
        <w:t>ע"א 10225/02</w:t>
      </w:r>
      <w:r>
        <w:rPr>
          <w:rFonts w:hint="cs"/>
          <w:noProof/>
          <w:rtl/>
        </w:rPr>
        <w:t xml:space="preserve"> </w:t>
      </w:r>
      <w:r>
        <w:rPr>
          <w:rFonts w:hint="cs"/>
          <w:b/>
          <w:bCs/>
          <w:noProof/>
          <w:rtl/>
        </w:rPr>
        <w:t>פרץ נ' פרץ בוני הנגב</w:t>
      </w:r>
      <w:r>
        <w:rPr>
          <w:rFonts w:hint="cs"/>
          <w:noProof/>
          <w:rtl/>
        </w:rPr>
        <w:t xml:space="preserve"> (15.1.2004); </w:t>
      </w:r>
      <w:r>
        <w:rPr>
          <w:rFonts w:hint="cs"/>
          <w:b/>
          <w:bCs/>
          <w:noProof/>
          <w:u w:val="single"/>
          <w:rtl/>
        </w:rPr>
        <w:t>ע"א 826/21</w:t>
      </w:r>
      <w:r>
        <w:rPr>
          <w:rFonts w:hint="cs"/>
          <w:noProof/>
          <w:rtl/>
        </w:rPr>
        <w:t xml:space="preserve"> ‏</w:t>
      </w:r>
      <w:r>
        <w:rPr>
          <w:rFonts w:hint="cs"/>
          <w:b/>
          <w:bCs/>
          <w:noProof/>
          <w:rtl/>
        </w:rPr>
        <w:t>הימנותא בע"מ נ' יוסף שדאד</w:t>
      </w:r>
      <w:r>
        <w:rPr>
          <w:rFonts w:hint="cs"/>
          <w:noProof/>
          <w:rtl/>
        </w:rPr>
        <w:t xml:space="preserve"> (3.3.2021)).</w:t>
      </w:r>
    </w:p>
    <w:p w:rsidR="00DD67DC" w:rsidRDefault="00DD67DC" w:rsidP="00DD67DC">
      <w:pPr>
        <w:spacing w:after="120" w:line="360" w:lineRule="auto"/>
        <w:ind w:firstLine="368"/>
        <w:jc w:val="both"/>
        <w:rPr>
          <w:rtl/>
        </w:rPr>
      </w:pPr>
      <w:r w:rsidRPr="00CC72AE">
        <w:rPr>
          <w:rFonts w:hint="cs"/>
          <w:u w:val="single"/>
          <w:rtl/>
        </w:rPr>
        <w:t>יפים לענייננו דבריו של כב' השופט מינץ ב-</w:t>
      </w:r>
      <w:r w:rsidRPr="00CC72AE">
        <w:rPr>
          <w:rFonts w:hint="cs"/>
          <w:b/>
          <w:bCs/>
          <w:u w:val="single"/>
          <w:rtl/>
        </w:rPr>
        <w:t>ע"א 8191/16</w:t>
      </w:r>
      <w:r w:rsidRPr="00CC72AE">
        <w:rPr>
          <w:rFonts w:hint="cs"/>
          <w:u w:val="single"/>
          <w:rtl/>
        </w:rPr>
        <w:t xml:space="preserve"> </w:t>
      </w:r>
      <w:r w:rsidRPr="00CC72AE">
        <w:rPr>
          <w:rFonts w:hint="cs"/>
          <w:b/>
          <w:bCs/>
          <w:u w:val="single"/>
          <w:rtl/>
        </w:rPr>
        <w:t>דיאליט נ' אברהם הרר</w:t>
      </w:r>
      <w:r w:rsidRPr="00CC72AE">
        <w:rPr>
          <w:rFonts w:hint="cs"/>
          <w:u w:val="single"/>
          <w:rtl/>
        </w:rPr>
        <w:t xml:space="preserve"> (17.06.2019)</w:t>
      </w:r>
      <w:r>
        <w:rPr>
          <w:rFonts w:hint="cs"/>
          <w:rtl/>
        </w:rPr>
        <w:t>:</w:t>
      </w:r>
    </w:p>
    <w:p w:rsidR="00DD67DC" w:rsidRDefault="00DD67DC" w:rsidP="00DD67DC">
      <w:pPr>
        <w:pStyle w:val="ad"/>
        <w:spacing w:after="120" w:line="360" w:lineRule="auto"/>
        <w:contextualSpacing w:val="0"/>
        <w:rPr>
          <w:b/>
          <w:bCs/>
          <w:noProof/>
        </w:rPr>
      </w:pPr>
      <w:r>
        <w:rPr>
          <w:rFonts w:hint="cs"/>
          <w:b/>
          <w:bCs/>
          <w:noProof/>
          <w:rtl/>
        </w:rPr>
        <w:t xml:space="preserve">"כאמור, הלכה נושנה היא שאין זה מדרכה של ערכאת הערעור להתערב בממצאי עובדה ומהימנות שנקבעו על ידי הערכאה הדיונית. זאת, מפני שבידה של הערכאה הדיונית האפשרות להתרשם מהעדים ומחקירתם על דוכן העדים, ולבחון כל ראיה וחוות-דעת לעומק. התערבות ערכאת הערעור תיעשה במקרים חריגים וקיצוניים בלבד, כגון מקרים בהם נפל פגם בהכרעתה של הערכאה הראשונה היורד לשורשו של </w:t>
      </w:r>
      <w:r>
        <w:rPr>
          <w:rFonts w:hint="cs"/>
          <w:b/>
          <w:bCs/>
          <w:noProof/>
          <w:rtl/>
        </w:rPr>
        <w:lastRenderedPageBreak/>
        <w:t>עניין, או כשהדברים אינם מבוססים על פניהם (</w:t>
      </w:r>
      <w:r>
        <w:rPr>
          <w:rFonts w:hint="cs"/>
          <w:b/>
          <w:bCs/>
          <w:noProof/>
          <w:u w:val="single"/>
          <w:rtl/>
        </w:rPr>
        <w:t xml:space="preserve">אורי </w:t>
      </w:r>
      <w:r w:rsidRPr="00CC72AE">
        <w:rPr>
          <w:rFonts w:hint="cs"/>
          <w:b/>
          <w:bCs/>
          <w:noProof/>
          <w:rtl/>
        </w:rPr>
        <w:t>גורן סוגיות בסדר דין אזרחי</w:t>
      </w:r>
      <w:r>
        <w:rPr>
          <w:rFonts w:hint="cs"/>
          <w:b/>
          <w:bCs/>
          <w:noProof/>
          <w:rtl/>
        </w:rPr>
        <w:t xml:space="preserve"> 1026 (מהדורה שתים עשרה, 2015); </w:t>
      </w:r>
      <w:r w:rsidRPr="00CC72AE">
        <w:rPr>
          <w:rFonts w:hint="cs"/>
          <w:b/>
          <w:bCs/>
          <w:noProof/>
          <w:rtl/>
        </w:rPr>
        <w:t>ע"א 4175/12</w:t>
      </w:r>
      <w:r>
        <w:rPr>
          <w:rFonts w:hint="cs"/>
          <w:b/>
          <w:bCs/>
          <w:noProof/>
          <w:rtl/>
        </w:rPr>
        <w:t xml:space="preserve"> תעשית אבן וסיד בע"מ נ' גדיר </w:t>
      </w:r>
      <w:r>
        <w:rPr>
          <w:rFonts w:hint="cs"/>
          <w:noProof/>
          <w:rtl/>
        </w:rPr>
        <w:t>(10.3.2014)</w:t>
      </w:r>
      <w:r>
        <w:rPr>
          <w:rFonts w:hint="cs"/>
          <w:b/>
          <w:bCs/>
          <w:noProof/>
          <w:rtl/>
        </w:rPr>
        <w:t xml:space="preserve">; </w:t>
      </w:r>
      <w:r w:rsidRPr="00CC72AE">
        <w:rPr>
          <w:rFonts w:hint="cs"/>
          <w:b/>
          <w:bCs/>
          <w:noProof/>
          <w:rtl/>
        </w:rPr>
        <w:t>ע"א 3894/03</w:t>
      </w:r>
      <w:r>
        <w:rPr>
          <w:rFonts w:hint="cs"/>
          <w:b/>
          <w:bCs/>
          <w:noProof/>
          <w:rtl/>
        </w:rPr>
        <w:t xml:space="preserve"> דויטש נ' ישראפלאורס בע"מ </w:t>
      </w:r>
      <w:r>
        <w:rPr>
          <w:rFonts w:hint="cs"/>
          <w:noProof/>
          <w:rtl/>
        </w:rPr>
        <w:t>(23.8.2012)</w:t>
      </w:r>
      <w:r>
        <w:rPr>
          <w:rFonts w:hint="cs"/>
          <w:b/>
          <w:bCs/>
          <w:noProof/>
          <w:rtl/>
        </w:rPr>
        <w:t xml:space="preserve">). </w:t>
      </w:r>
    </w:p>
    <w:p w:rsidR="00DD67DC" w:rsidRDefault="00DD67DC" w:rsidP="00CC72AE">
      <w:pPr>
        <w:spacing w:after="120" w:line="360" w:lineRule="auto"/>
        <w:ind w:left="368"/>
        <w:jc w:val="both"/>
        <w:rPr>
          <w:rtl/>
        </w:rPr>
      </w:pPr>
      <w:r>
        <w:rPr>
          <w:rFonts w:hint="cs"/>
          <w:rtl/>
        </w:rPr>
        <w:t xml:space="preserve">סבורני כי המקרה דנן אינו נכלל באותם מקרים "חריגים קיצוניים". עיון בפסק הדין לכל אורכו, נימוקיו וקביעותיו, בפרט ניתוח העדויות והראיות בסעיפים 67 ואילך, מלמד כי בימ"ש קמא דן באופן יסודי בטענות הצדדים, </w:t>
      </w:r>
      <w:r>
        <w:rPr>
          <w:rFonts w:hint="cs"/>
          <w:b/>
          <w:bCs/>
          <w:rtl/>
        </w:rPr>
        <w:t>בחן היטב את חומר הראיות שהונח לפניו</w:t>
      </w:r>
      <w:r>
        <w:rPr>
          <w:rFonts w:hint="cs"/>
          <w:rtl/>
        </w:rPr>
        <w:t xml:space="preserve">, והתרשם מחקירותיהם של המצהירים מטעם הצדדים וכן מהעדים שהובאו בפניו. </w:t>
      </w:r>
      <w:r>
        <w:rPr>
          <w:rFonts w:hint="cs"/>
          <w:u w:val="single"/>
          <w:rtl/>
        </w:rPr>
        <w:t>על יסוד כל אלה</w:t>
      </w:r>
      <w:r>
        <w:rPr>
          <w:rFonts w:hint="cs"/>
          <w:rtl/>
        </w:rPr>
        <w:t xml:space="preserve"> קבע בימ"ש קמא ממצאים עובדתיים וממצאי מהימנות (לרבות אי-מהימנות המערערים - ראה למשל סע' 45 רישא לפסה"ד ועוד). </w:t>
      </w:r>
      <w:r>
        <w:rPr>
          <w:rFonts w:hint="cs"/>
          <w:b/>
          <w:bCs/>
          <w:rtl/>
        </w:rPr>
        <w:t>בחינת הראיות המפורט בפסה"ד מעלה כי ממצאי העובדה מעוגנים היטב בחומר הראיות ולא מצאתי בטענות המערערים כל בסיס להתערבות בקביעות אלה</w:t>
      </w:r>
      <w:r>
        <w:rPr>
          <w:rFonts w:hint="cs"/>
          <w:rtl/>
        </w:rPr>
        <w:t xml:space="preserve">. </w:t>
      </w:r>
    </w:p>
    <w:p w:rsidR="00DD67DC" w:rsidRPr="00CC72AE" w:rsidRDefault="00DD67DC" w:rsidP="00AD76DB">
      <w:pPr>
        <w:pStyle w:val="ad"/>
        <w:numPr>
          <w:ilvl w:val="0"/>
          <w:numId w:val="1"/>
        </w:numPr>
        <w:spacing w:after="120" w:line="360" w:lineRule="auto"/>
        <w:ind w:left="369"/>
        <w:contextualSpacing w:val="0"/>
        <w:rPr>
          <w:sz w:val="20"/>
          <w:szCs w:val="20"/>
          <w:rtl/>
        </w:rPr>
      </w:pPr>
      <w:r w:rsidRPr="00CC72AE">
        <w:rPr>
          <w:rFonts w:hint="cs"/>
          <w:b/>
          <w:bCs/>
          <w:u w:val="single"/>
          <w:rtl/>
        </w:rPr>
        <w:t>לשון ההסכמים כולל הסכם הפשרה</w:t>
      </w:r>
      <w:r>
        <w:rPr>
          <w:rFonts w:hint="cs"/>
          <w:rtl/>
        </w:rPr>
        <w:t xml:space="preserve">- גם הוא תומך במסד העובדתי בדבר כוונת הצדדים לערוך הסכם חלוקה קנייני, ולא רק הסכם שיתוף המסדיר שימוש בלבד ללא חלוקה קניינית: הציטוטים מתוך ההסכמים השונים אותם הבאתי בסעיפים 5-8 לעיל, מעידים כאלף מונים שאכן כוונת הצדדים בהסכמים הייתה במפורש </w:t>
      </w:r>
      <w:r w:rsidRPr="00CC72AE">
        <w:rPr>
          <w:rFonts w:hint="cs"/>
          <w:u w:val="single"/>
          <w:rtl/>
        </w:rPr>
        <w:t>ליצור חלוקה קניינית</w:t>
      </w:r>
      <w:r>
        <w:rPr>
          <w:rFonts w:hint="cs"/>
          <w:rtl/>
        </w:rPr>
        <w:t xml:space="preserve"> ולא רק "הסכם שיתוף/שימוש" – להלן החלקים הרלוונטיים מתוך הציטוטים לעיל (כאשר את הציטוטים המלאים ניתן לראות בסעיפים 5-8 לעיל):</w:t>
      </w:r>
    </w:p>
    <w:p w:rsidR="00DD67DC" w:rsidRDefault="00DD67DC" w:rsidP="00DD67DC">
      <w:pPr>
        <w:spacing w:after="120" w:line="360" w:lineRule="auto"/>
        <w:ind w:left="720"/>
        <w:jc w:val="both"/>
        <w:rPr>
          <w:b/>
          <w:bCs/>
          <w:rtl/>
        </w:rPr>
      </w:pPr>
      <w:r>
        <w:rPr>
          <w:rFonts w:hint="cs"/>
          <w:b/>
          <w:bCs/>
          <w:rtl/>
        </w:rPr>
        <w:t>"</w:t>
      </w:r>
      <w:r w:rsidR="00EC5E60">
        <w:rPr>
          <w:rFonts w:hint="cs"/>
          <w:b/>
          <w:bCs/>
          <w:rtl/>
        </w:rPr>
        <w:t>בשמם של שאר האחים יבצע האח ג'</w:t>
      </w:r>
      <w:r>
        <w:rPr>
          <w:rFonts w:hint="cs"/>
          <w:b/>
          <w:bCs/>
          <w:rtl/>
        </w:rPr>
        <w:t xml:space="preserve"> את ההליכים הדרושים </w:t>
      </w:r>
      <w:r>
        <w:rPr>
          <w:rFonts w:hint="cs"/>
          <w:b/>
          <w:bCs/>
          <w:u w:val="single"/>
          <w:rtl/>
        </w:rPr>
        <w:t xml:space="preserve">כדי </w:t>
      </w:r>
      <w:r w:rsidR="00EC5E60">
        <w:rPr>
          <w:rFonts w:hint="cs"/>
          <w:b/>
          <w:bCs/>
          <w:u w:val="single"/>
          <w:rtl/>
        </w:rPr>
        <w:t xml:space="preserve">לרשום את המבנים בשכונת </w:t>
      </w:r>
      <w:r w:rsidR="00EC5E60">
        <w:rPr>
          <w:rFonts w:hint="cs"/>
          <w:b/>
          <w:bCs/>
          <w:u w:val="single"/>
        </w:rPr>
        <w:t>XXX</w:t>
      </w:r>
      <w:r>
        <w:rPr>
          <w:rFonts w:hint="cs"/>
          <w:b/>
          <w:bCs/>
          <w:u w:val="single"/>
          <w:rtl/>
        </w:rPr>
        <w:t xml:space="preserve"> כ"בתים משותפים" על פי חוק "הבתים המשותפים</w:t>
      </w:r>
      <w:r>
        <w:rPr>
          <w:rFonts w:hint="cs"/>
          <w:b/>
          <w:bCs/>
          <w:rtl/>
        </w:rPr>
        <w:t xml:space="preserve">", וכמו כן הוא יכין מפות רשמיות </w:t>
      </w:r>
      <w:r>
        <w:rPr>
          <w:rFonts w:hint="cs"/>
          <w:b/>
          <w:bCs/>
          <w:u w:val="single"/>
          <w:rtl/>
        </w:rPr>
        <w:t>וירשום את ה</w:t>
      </w:r>
      <w:r w:rsidR="00EC5E60">
        <w:rPr>
          <w:rFonts w:hint="cs"/>
          <w:b/>
          <w:bCs/>
          <w:u w:val="single"/>
          <w:rtl/>
        </w:rPr>
        <w:t>בתים במחלקת רישום המקרקעין ב...</w:t>
      </w:r>
      <w:r>
        <w:rPr>
          <w:rFonts w:hint="cs"/>
          <w:b/>
          <w:bCs/>
          <w:rtl/>
        </w:rPr>
        <w:t>.</w:t>
      </w:r>
    </w:p>
    <w:p w:rsidR="00DD67DC" w:rsidRDefault="00DD67DC" w:rsidP="00CC72AE">
      <w:pPr>
        <w:spacing w:after="120" w:line="360" w:lineRule="auto"/>
        <w:ind w:left="720"/>
        <w:jc w:val="both"/>
        <w:rPr>
          <w:b/>
          <w:bCs/>
          <w:sz w:val="20"/>
          <w:szCs w:val="20"/>
          <w:rtl/>
        </w:rPr>
      </w:pPr>
      <w:r>
        <w:rPr>
          <w:rFonts w:hint="cs"/>
          <w:b/>
          <w:bCs/>
          <w:u w:val="single"/>
          <w:rtl/>
        </w:rPr>
        <w:t>קביעת הזכויות המשותפות בנכס...תהיה על פי המפה בנספח א'</w:t>
      </w:r>
      <w:r>
        <w:rPr>
          <w:rFonts w:hint="cs"/>
          <w:b/>
          <w:bCs/>
          <w:rtl/>
        </w:rPr>
        <w:t xml:space="preserve">...המפה הזו הינה </w:t>
      </w:r>
      <w:r>
        <w:rPr>
          <w:rFonts w:hint="cs"/>
          <w:b/>
          <w:bCs/>
          <w:u w:val="single"/>
          <w:rtl/>
        </w:rPr>
        <w:t>מפה מחייבת וסופית</w:t>
      </w:r>
      <w:r>
        <w:rPr>
          <w:rFonts w:hint="cs"/>
          <w:b/>
          <w:bCs/>
          <w:rtl/>
        </w:rPr>
        <w:t xml:space="preserve"> ולאף אחד מן האחים </w:t>
      </w:r>
      <w:r>
        <w:rPr>
          <w:rFonts w:hint="cs"/>
          <w:b/>
          <w:bCs/>
          <w:u w:val="single"/>
          <w:rtl/>
        </w:rPr>
        <w:t xml:space="preserve">אין כל זכות להביע התנגדות </w:t>
      </w:r>
      <w:r>
        <w:rPr>
          <w:rFonts w:hint="cs"/>
          <w:b/>
          <w:bCs/>
          <w:u w:val="double"/>
          <w:rtl/>
        </w:rPr>
        <w:t>לפיצול ולחלוקה</w:t>
      </w:r>
      <w:r>
        <w:rPr>
          <w:rFonts w:hint="cs"/>
          <w:b/>
          <w:bCs/>
          <w:u w:val="single"/>
          <w:rtl/>
        </w:rPr>
        <w:t xml:space="preserve"> על פי המפה</w:t>
      </w:r>
      <w:r>
        <w:rPr>
          <w:rFonts w:hint="cs"/>
          <w:b/>
          <w:bCs/>
          <w:rtl/>
        </w:rPr>
        <w:t xml:space="preserve"> האמורה לעיל."</w:t>
      </w:r>
    </w:p>
    <w:p w:rsidR="00DD67DC" w:rsidRDefault="00DD67DC" w:rsidP="00CC72AE">
      <w:pPr>
        <w:spacing w:after="120" w:line="360" w:lineRule="auto"/>
        <w:ind w:left="720"/>
        <w:jc w:val="both"/>
        <w:rPr>
          <w:b/>
          <w:bCs/>
          <w:sz w:val="20"/>
          <w:szCs w:val="20"/>
          <w:rtl/>
        </w:rPr>
      </w:pPr>
      <w:r>
        <w:rPr>
          <w:rFonts w:hint="cs"/>
          <w:b/>
          <w:bCs/>
          <w:rtl/>
        </w:rPr>
        <w:t xml:space="preserve">"כל האחים מתחייבים לחתום...ולפנות את החלקים אשר </w:t>
      </w:r>
      <w:r>
        <w:rPr>
          <w:rFonts w:hint="cs"/>
          <w:b/>
          <w:bCs/>
          <w:u w:val="double"/>
          <w:rtl/>
        </w:rPr>
        <w:t>שייכים</w:t>
      </w:r>
      <w:r>
        <w:rPr>
          <w:rFonts w:hint="cs"/>
          <w:b/>
          <w:bCs/>
          <w:u w:val="single"/>
          <w:rtl/>
        </w:rPr>
        <w:t xml:space="preserve"> לכל אחד מהאחים</w:t>
      </w:r>
      <w:r>
        <w:rPr>
          <w:rFonts w:hint="cs"/>
          <w:b/>
          <w:bCs/>
          <w:rtl/>
        </w:rPr>
        <w:t xml:space="preserve">, כפי שהוא </w:t>
      </w:r>
      <w:r>
        <w:rPr>
          <w:rFonts w:hint="cs"/>
          <w:b/>
          <w:bCs/>
          <w:u w:val="single"/>
          <w:rtl/>
        </w:rPr>
        <w:t>קיבל אותו</w:t>
      </w:r>
      <w:r>
        <w:rPr>
          <w:rFonts w:hint="cs"/>
          <w:b/>
          <w:bCs/>
          <w:rtl/>
        </w:rPr>
        <w:t xml:space="preserve"> או כפי שהוא </w:t>
      </w:r>
      <w:r>
        <w:rPr>
          <w:rFonts w:hint="cs"/>
          <w:b/>
          <w:bCs/>
          <w:u w:val="single"/>
          <w:rtl/>
        </w:rPr>
        <w:t>ויתר עליו</w:t>
      </w:r>
      <w:r>
        <w:rPr>
          <w:rFonts w:hint="cs"/>
          <w:b/>
          <w:bCs/>
          <w:rtl/>
        </w:rPr>
        <w:t xml:space="preserve"> על פי הסכם זה."</w:t>
      </w:r>
    </w:p>
    <w:p w:rsidR="00DD67DC" w:rsidRDefault="00DD67DC" w:rsidP="00CC72AE">
      <w:pPr>
        <w:pStyle w:val="ad"/>
        <w:spacing w:after="120" w:line="360" w:lineRule="auto"/>
        <w:contextualSpacing w:val="0"/>
        <w:rPr>
          <w:b/>
          <w:bCs/>
          <w:sz w:val="20"/>
          <w:szCs w:val="20"/>
          <w:rtl/>
        </w:rPr>
      </w:pPr>
      <w:r>
        <w:rPr>
          <w:rFonts w:hint="cs"/>
          <w:b/>
          <w:bCs/>
          <w:rtl/>
        </w:rPr>
        <w:t>"מאחר שהאחים...מעוניינים להסדיר...</w:t>
      </w:r>
      <w:r>
        <w:rPr>
          <w:rFonts w:hint="cs"/>
          <w:b/>
          <w:bCs/>
          <w:u w:val="double"/>
          <w:rtl/>
        </w:rPr>
        <w:t>ולקבוע ולהגדיר את חלקו</w:t>
      </w:r>
      <w:r>
        <w:rPr>
          <w:rFonts w:hint="cs"/>
          <w:b/>
          <w:bCs/>
          <w:u w:val="single"/>
          <w:rtl/>
        </w:rPr>
        <w:t xml:space="preserve"> של כל אחד מהאחים ברכוש המשותף</w:t>
      </w:r>
      <w:r>
        <w:rPr>
          <w:rFonts w:hint="cs"/>
          <w:b/>
          <w:bCs/>
          <w:rtl/>
        </w:rPr>
        <w:t xml:space="preserve"> וכמו כן את קשרי העבודה והתכנון בעתיד."</w:t>
      </w:r>
    </w:p>
    <w:p w:rsidR="00DD67DC" w:rsidRDefault="00DD67DC" w:rsidP="00CC72AE">
      <w:pPr>
        <w:pStyle w:val="ad"/>
        <w:spacing w:after="120" w:line="360" w:lineRule="auto"/>
        <w:contextualSpacing w:val="0"/>
        <w:rPr>
          <w:b/>
          <w:bCs/>
          <w:sz w:val="20"/>
          <w:szCs w:val="20"/>
          <w:rtl/>
        </w:rPr>
      </w:pPr>
      <w:r>
        <w:rPr>
          <w:rFonts w:hint="cs"/>
          <w:b/>
          <w:bCs/>
          <w:rtl/>
        </w:rPr>
        <w:t xml:space="preserve">"כמו כן הכין המהנדס סוהייל סאבא מפה של הקרקע...אשר מפרטת </w:t>
      </w:r>
      <w:r>
        <w:rPr>
          <w:rFonts w:hint="cs"/>
          <w:b/>
          <w:bCs/>
          <w:u w:val="single"/>
          <w:rtl/>
        </w:rPr>
        <w:t>את חלקו של כל אחד מהאחים ברכוש הנ"ל</w:t>
      </w:r>
      <w:r>
        <w:rPr>
          <w:rFonts w:hint="cs"/>
          <w:b/>
          <w:bCs/>
          <w:rtl/>
        </w:rPr>
        <w:t xml:space="preserve">. ... כשחתימתם על הסכם זה היא בבחינת אישור ואימות </w:t>
      </w:r>
      <w:r>
        <w:rPr>
          <w:rFonts w:hint="cs"/>
          <w:b/>
          <w:bCs/>
          <w:u w:val="single"/>
          <w:rtl/>
        </w:rPr>
        <w:t xml:space="preserve">לקבלת החלקים שלהם </w:t>
      </w:r>
      <w:r>
        <w:rPr>
          <w:rFonts w:hint="cs"/>
          <w:b/>
          <w:bCs/>
          <w:rtl/>
        </w:rPr>
        <w:t>כפי שהבהירה המפה."</w:t>
      </w:r>
    </w:p>
    <w:p w:rsidR="00DD67DC" w:rsidRDefault="00DD67DC" w:rsidP="00CC72AE">
      <w:pPr>
        <w:pStyle w:val="ad"/>
        <w:spacing w:after="120" w:line="360" w:lineRule="auto"/>
        <w:contextualSpacing w:val="0"/>
        <w:rPr>
          <w:sz w:val="20"/>
          <w:szCs w:val="20"/>
          <w:rtl/>
        </w:rPr>
      </w:pPr>
      <w:r>
        <w:rPr>
          <w:rFonts w:hint="cs"/>
          <w:b/>
          <w:bCs/>
          <w:rtl/>
        </w:rPr>
        <w:t>"</w:t>
      </w:r>
      <w:r>
        <w:rPr>
          <w:rFonts w:hint="cs"/>
          <w:b/>
          <w:bCs/>
          <w:u w:val="single"/>
          <w:rtl/>
        </w:rPr>
        <w:t>כל אחד מן האחים מצהיר</w:t>
      </w:r>
      <w:r>
        <w:rPr>
          <w:rFonts w:hint="cs"/>
          <w:b/>
          <w:bCs/>
          <w:rtl/>
        </w:rPr>
        <w:t xml:space="preserve">, כי בחתימתו על הסכם זה </w:t>
      </w:r>
      <w:r>
        <w:rPr>
          <w:rFonts w:hint="cs"/>
          <w:b/>
          <w:bCs/>
          <w:u w:val="single"/>
          <w:rtl/>
        </w:rPr>
        <w:t xml:space="preserve">הוא קיבל את </w:t>
      </w:r>
      <w:r>
        <w:rPr>
          <w:rFonts w:hint="cs"/>
          <w:b/>
          <w:bCs/>
          <w:u w:val="double"/>
          <w:rtl/>
        </w:rPr>
        <w:t>חלקו</w:t>
      </w:r>
      <w:r>
        <w:rPr>
          <w:rFonts w:hint="cs"/>
          <w:b/>
          <w:bCs/>
          <w:u w:val="single"/>
          <w:rtl/>
        </w:rPr>
        <w:t xml:space="preserve"> בשותפות</w:t>
      </w:r>
      <w:r>
        <w:rPr>
          <w:rFonts w:hint="cs"/>
          <w:b/>
          <w:bCs/>
          <w:rtl/>
        </w:rPr>
        <w:t xml:space="preserve"> של האחרים במלואו והוא מוותר בוויתור מוחלט על כל טענה או דרישה או זכויות של צד שלישי אשר ניתנו לו על פי הסכם זה." </w:t>
      </w:r>
    </w:p>
    <w:p w:rsidR="00DD67DC" w:rsidRDefault="00EC5E60" w:rsidP="00EC5E60">
      <w:pPr>
        <w:spacing w:after="120" w:line="360" w:lineRule="auto"/>
        <w:ind w:left="713"/>
        <w:jc w:val="both"/>
        <w:rPr>
          <w:b/>
          <w:bCs/>
          <w:rtl/>
        </w:rPr>
      </w:pPr>
      <w:r>
        <w:rPr>
          <w:rFonts w:hint="cs"/>
          <w:b/>
          <w:bCs/>
          <w:rtl/>
        </w:rPr>
        <w:t>"דיירי הבית ברחוב</w:t>
      </w:r>
      <w:r w:rsidR="00DD67DC">
        <w:rPr>
          <w:rFonts w:hint="cs"/>
          <w:b/>
          <w:bCs/>
          <w:rtl/>
        </w:rPr>
        <w:t>...</w:t>
      </w:r>
      <w:r>
        <w:rPr>
          <w:rFonts w:hint="cs"/>
          <w:b/>
          <w:bCs/>
          <w:rtl/>
        </w:rPr>
        <w:t xml:space="preserve"> </w:t>
      </w:r>
      <w:r w:rsidR="00DD67DC">
        <w:rPr>
          <w:rFonts w:hint="cs"/>
          <w:b/>
          <w:bCs/>
          <w:rtl/>
        </w:rPr>
        <w:t xml:space="preserve">יפעלו במשותף </w:t>
      </w:r>
      <w:r w:rsidR="00DD67DC">
        <w:rPr>
          <w:rFonts w:hint="cs"/>
          <w:b/>
          <w:bCs/>
          <w:u w:val="single"/>
          <w:rtl/>
        </w:rPr>
        <w:t>לרישום הבית כבית משותף</w:t>
      </w:r>
      <w:r w:rsidR="00DD67DC">
        <w:rPr>
          <w:rFonts w:hint="cs"/>
          <w:b/>
          <w:bCs/>
          <w:rtl/>
        </w:rPr>
        <w:t xml:space="preserve">..." </w:t>
      </w:r>
    </w:p>
    <w:p w:rsidR="00DD67DC" w:rsidRDefault="00DD67DC" w:rsidP="00DD67DC">
      <w:pPr>
        <w:spacing w:after="120" w:line="360" w:lineRule="auto"/>
        <w:ind w:left="713"/>
        <w:jc w:val="both"/>
        <w:rPr>
          <w:b/>
          <w:bCs/>
          <w:sz w:val="20"/>
          <w:szCs w:val="20"/>
          <w:rtl/>
        </w:rPr>
      </w:pPr>
    </w:p>
    <w:p w:rsidR="00DD67DC" w:rsidRDefault="00DD67DC" w:rsidP="00CC72AE">
      <w:pPr>
        <w:spacing w:after="120" w:line="360" w:lineRule="auto"/>
        <w:ind w:left="713"/>
        <w:jc w:val="both"/>
        <w:rPr>
          <w:rtl/>
        </w:rPr>
      </w:pPr>
      <w:r>
        <w:rPr>
          <w:rFonts w:hint="cs"/>
          <w:b/>
          <w:bCs/>
          <w:rtl/>
        </w:rPr>
        <w:lastRenderedPageBreak/>
        <w:t>"</w:t>
      </w:r>
      <w:r>
        <w:rPr>
          <w:rFonts w:hint="cs"/>
          <w:b/>
          <w:bCs/>
          <w:u w:val="single"/>
          <w:rtl/>
        </w:rPr>
        <w:t>הדיירים מתחייבים לשתף פעולה בכל הקשור לרישום הבית המשותף</w:t>
      </w:r>
      <w:r>
        <w:rPr>
          <w:rFonts w:hint="cs"/>
          <w:b/>
          <w:bCs/>
          <w:rtl/>
        </w:rPr>
        <w:t>..."</w:t>
      </w:r>
    </w:p>
    <w:p w:rsidR="00DD67DC" w:rsidRDefault="00DD67DC" w:rsidP="00CC72AE">
      <w:pPr>
        <w:pStyle w:val="ad"/>
        <w:spacing w:after="120" w:line="360" w:lineRule="auto"/>
        <w:ind w:left="369"/>
        <w:contextualSpacing w:val="0"/>
      </w:pPr>
      <w:r>
        <w:rPr>
          <w:rFonts w:hint="cs"/>
          <w:rtl/>
        </w:rPr>
        <w:t xml:space="preserve">הנה כי כן, </w:t>
      </w:r>
      <w:r>
        <w:rPr>
          <w:rFonts w:hint="cs"/>
          <w:u w:val="single"/>
          <w:rtl/>
        </w:rPr>
        <w:t>מקבץ הביטויים</w:t>
      </w:r>
      <w:r>
        <w:rPr>
          <w:rFonts w:hint="cs"/>
          <w:rtl/>
        </w:rPr>
        <w:t xml:space="preserve">: </w:t>
      </w:r>
      <w:r>
        <w:rPr>
          <w:rFonts w:hint="cs"/>
          <w:b/>
          <w:bCs/>
          <w:rtl/>
        </w:rPr>
        <w:t>לרשום כבית משותף; חוק הבתים המשותפים; שייכות; קביעת הזכויות; פיצול וחלוקה; לקבוע ולהגדיר את חלקו של כל אחד; קבלת חלקו; קיבל את חלקו בשותפות;</w:t>
      </w:r>
      <w:r>
        <w:rPr>
          <w:rFonts w:hint="cs"/>
          <w:rtl/>
        </w:rPr>
        <w:t xml:space="preserve"> כל זה ועוד מעיד כאלף מונים שכוונת הצדדים בהסכמים הייתה במפורש </w:t>
      </w:r>
      <w:r>
        <w:rPr>
          <w:rFonts w:hint="cs"/>
          <w:b/>
          <w:bCs/>
          <w:sz w:val="28"/>
          <w:szCs w:val="28"/>
          <w:rtl/>
        </w:rPr>
        <w:t xml:space="preserve">לחלק את הזכויות </w:t>
      </w:r>
      <w:r>
        <w:rPr>
          <w:rFonts w:hint="cs"/>
          <w:b/>
          <w:bCs/>
          <w:sz w:val="28"/>
          <w:szCs w:val="28"/>
          <w:u w:val="single"/>
          <w:rtl/>
        </w:rPr>
        <w:t>באופן קנייני</w:t>
      </w:r>
      <w:r>
        <w:rPr>
          <w:rFonts w:hint="cs"/>
          <w:b/>
          <w:bCs/>
          <w:sz w:val="28"/>
          <w:szCs w:val="28"/>
          <w:rtl/>
        </w:rPr>
        <w:t xml:space="preserve"> ולרשום את הבית </w:t>
      </w:r>
      <w:r>
        <w:rPr>
          <w:rFonts w:hint="cs"/>
          <w:b/>
          <w:bCs/>
          <w:sz w:val="28"/>
          <w:szCs w:val="28"/>
          <w:u w:val="single"/>
          <w:rtl/>
        </w:rPr>
        <w:t>כבית משותף</w:t>
      </w:r>
      <w:r>
        <w:rPr>
          <w:rFonts w:hint="cs"/>
          <w:b/>
          <w:bCs/>
          <w:sz w:val="28"/>
          <w:szCs w:val="28"/>
          <w:rtl/>
        </w:rPr>
        <w:t xml:space="preserve">. </w:t>
      </w:r>
      <w:r>
        <w:rPr>
          <w:rFonts w:hint="cs"/>
          <w:rtl/>
        </w:rPr>
        <w:t>(הכיצד ניתן לרשום "בית משותף" כפי שהצהירו הצדדים בהסכמים ללא שיוך קנייני?...)</w:t>
      </w:r>
    </w:p>
    <w:p w:rsidR="00DD67DC" w:rsidRDefault="00DD67DC" w:rsidP="00DD67DC">
      <w:pPr>
        <w:pStyle w:val="ad"/>
        <w:numPr>
          <w:ilvl w:val="0"/>
          <w:numId w:val="1"/>
        </w:numPr>
        <w:spacing w:after="120" w:line="360" w:lineRule="auto"/>
        <w:ind w:left="369"/>
        <w:contextualSpacing w:val="0"/>
        <w:rPr>
          <w:rtl/>
        </w:rPr>
      </w:pPr>
      <w:r>
        <w:rPr>
          <w:rFonts w:hint="cs"/>
          <w:rtl/>
        </w:rPr>
        <w:t>המסד העובדתי-הראייתי כפי שהונח לפני בימ"ש קמא, בשילוב לשון ההסכמים, הביא את בימ"ש קמא להסיק את המסקנה הברורה בסעיף 76 לפסה"ד:</w:t>
      </w:r>
    </w:p>
    <w:p w:rsidR="00DD67DC" w:rsidRDefault="00DD67DC" w:rsidP="00CC72AE">
      <w:pPr>
        <w:pStyle w:val="ad"/>
        <w:spacing w:after="120" w:line="360" w:lineRule="auto"/>
        <w:contextualSpacing w:val="0"/>
      </w:pPr>
      <w:r>
        <w:rPr>
          <w:rFonts w:ascii="Aharoni" w:hAnsi="Aharoni" w:cs="Aharoni"/>
          <w:b/>
          <w:bCs/>
          <w:color w:val="0D0D0D"/>
          <w:rtl/>
          <w:lang w:eastAsia="he-IL"/>
        </w:rPr>
        <w:t>"בענייננו,</w:t>
      </w:r>
      <w:r>
        <w:rPr>
          <w:rFonts w:ascii="Aharoni" w:hAnsi="Aharoni" w:cs="Aharoni"/>
          <w:color w:val="0D0D0D"/>
          <w:rtl/>
          <w:lang w:eastAsia="he-IL"/>
        </w:rPr>
        <w:t xml:space="preserve"> הגילוי החיצוני של הרצון סביב תשריט החלוקה </w:t>
      </w:r>
      <w:r>
        <w:rPr>
          <w:rFonts w:ascii="Aharoni" w:hAnsi="Aharoni" w:cs="Aharoni"/>
          <w:color w:val="0D0D0D"/>
          <w:u w:val="single"/>
          <w:rtl/>
          <w:lang w:eastAsia="he-IL"/>
        </w:rPr>
        <w:t>ברור</w:t>
      </w:r>
      <w:r>
        <w:rPr>
          <w:rFonts w:ascii="Aharoni" w:hAnsi="Aharoni" w:cs="Aharoni"/>
          <w:color w:val="0D0D0D"/>
          <w:rtl/>
          <w:lang w:eastAsia="he-IL"/>
        </w:rPr>
        <w:t>. הרצון מתבטא בחתימת הצדדים, הן החתימה על ההסכם משנת 1980 והן החתימה על תשריט החלוקה המהווה חלק בלתי נפרד מההסכם, וכוחה יפה להעיד על גמירת דעת והחלטיות. זאת ועוד, התנהגות הנתבעים לאורך כל התקופה האירועים שתוארו לעיל מעידה על הבנתם וגמירות דעתם ביחס לכל מה שנעשה."</w:t>
      </w:r>
    </w:p>
    <w:p w:rsidR="00DD67DC" w:rsidRDefault="00DD67DC" w:rsidP="00937577">
      <w:pPr>
        <w:pStyle w:val="ad"/>
        <w:numPr>
          <w:ilvl w:val="0"/>
          <w:numId w:val="1"/>
        </w:numPr>
        <w:spacing w:after="120" w:line="360" w:lineRule="auto"/>
        <w:ind w:left="369"/>
        <w:contextualSpacing w:val="0"/>
        <w:rPr>
          <w:rtl/>
        </w:rPr>
      </w:pPr>
      <w:r>
        <w:rPr>
          <w:rFonts w:hint="cs"/>
          <w:rtl/>
        </w:rPr>
        <w:t xml:space="preserve">לגבי </w:t>
      </w:r>
      <w:r w:rsidR="00937577">
        <w:rPr>
          <w:rFonts w:hint="cs"/>
          <w:rtl/>
        </w:rPr>
        <w:t xml:space="preserve">טענת המערערים כי מאחר והאח ט' </w:t>
      </w:r>
      <w:r>
        <w:rPr>
          <w:rFonts w:hint="cs"/>
          <w:rtl/>
        </w:rPr>
        <w:t>(שאיננו צד להליך) לא חתם על ההסכם ולפיכך לא ניתן להכשיר את ההסכם כהסכם קנייני &gt;&gt; ראשית טענה זו נטענה לראשונה בערעור. לא מצאתיה בכתבי הטענות, לא בכתב ההגנה ואף לא בתצהירי עדות ראשית, אלא רק בסיכומים (סע' 29(ב) לסיכומי המערערים) וגם שם בסיכומ</w:t>
      </w:r>
      <w:r w:rsidR="00937577">
        <w:rPr>
          <w:rFonts w:hint="cs"/>
          <w:rtl/>
        </w:rPr>
        <w:t>ים נטענה טענה זו של אי-חתימת ט'</w:t>
      </w:r>
      <w:r>
        <w:rPr>
          <w:rFonts w:hint="cs"/>
          <w:rtl/>
        </w:rPr>
        <w:t xml:space="preserve"> על ההסכם </w:t>
      </w:r>
      <w:r>
        <w:rPr>
          <w:rFonts w:hint="cs"/>
          <w:u w:val="single"/>
          <w:rtl/>
        </w:rPr>
        <w:t>בהקשר אחר לחלוטין</w:t>
      </w:r>
      <w:r w:rsidR="00937577">
        <w:rPr>
          <w:rFonts w:hint="cs"/>
          <w:rtl/>
        </w:rPr>
        <w:t xml:space="preserve"> (שכביכול אי-חתימת ט'</w:t>
      </w:r>
      <w:r>
        <w:rPr>
          <w:rFonts w:hint="cs"/>
          <w:rtl/>
        </w:rPr>
        <w:t xml:space="preserve"> מעידה שתוכן התשריט מתייחס לתקופה מאוחרת), וכלל לא בהקשר שאי-חתימתו מונעת מלהכיר בהסכם כהסכם חלוקה מחייב. אדרבא, בסעיף 29(ד) לסיכומיהם טוענים המערערים כי </w:t>
      </w:r>
      <w:r w:rsidR="00937577">
        <w:rPr>
          <w:rFonts w:hint="cs"/>
          <w:b/>
          <w:bCs/>
          <w:rtl/>
        </w:rPr>
        <w:t>"ט'</w:t>
      </w:r>
      <w:r>
        <w:rPr>
          <w:rFonts w:hint="cs"/>
          <w:b/>
          <w:bCs/>
          <w:rtl/>
        </w:rPr>
        <w:t xml:space="preserve"> לא נדרש לחתום על גבי המפה שבמחלוקת".</w:t>
      </w:r>
    </w:p>
    <w:p w:rsidR="00DD67DC" w:rsidRDefault="00937577" w:rsidP="00937577">
      <w:pPr>
        <w:pStyle w:val="ad"/>
        <w:spacing w:after="120" w:line="360" w:lineRule="auto"/>
        <w:ind w:left="369"/>
        <w:contextualSpacing w:val="0"/>
      </w:pPr>
      <w:r>
        <w:rPr>
          <w:rFonts w:hint="cs"/>
          <w:rtl/>
        </w:rPr>
        <w:t>שנית, ט'</w:t>
      </w:r>
      <w:r w:rsidR="00DD67DC">
        <w:rPr>
          <w:rFonts w:hint="cs"/>
          <w:rtl/>
        </w:rPr>
        <w:t xml:space="preserve"> העיד בבימ"ש קמא (תמליל 8.1.23) ושם הינו מודה שהוא חתם על ההסכם – כנראה כוונתו להסכם המשלים, המאשרר למעשה את ההסכם הראשון, </w:t>
      </w:r>
      <w:r w:rsidR="00DD67DC">
        <w:rPr>
          <w:rFonts w:hint="cs"/>
          <w:b/>
          <w:bCs/>
          <w:rtl/>
        </w:rPr>
        <w:t>ואף הינו מודה שם שבהתאם להסכם המשלים קיבל את אחד הנכסים האחרים מבחינה קניינית</w:t>
      </w:r>
      <w:r>
        <w:rPr>
          <w:rFonts w:hint="cs"/>
          <w:rtl/>
        </w:rPr>
        <w:t>. זאת ועוד טוען שם ט'</w:t>
      </w:r>
      <w:r w:rsidR="00DD67DC">
        <w:rPr>
          <w:rFonts w:hint="cs"/>
          <w:rtl/>
        </w:rPr>
        <w:t xml:space="preserve">, כי הסיבה לאי-חתימתו על ההסכם הראשון לא הייתה מפני שאיננו מסכים להסכם אלא </w:t>
      </w:r>
      <w:r w:rsidR="00DD67DC">
        <w:rPr>
          <w:rFonts w:hint="cs"/>
          <w:i/>
          <w:iCs/>
          <w:rtl/>
        </w:rPr>
        <w:t xml:space="preserve">"שברגע שחתמו האחים על זה, אני הייתי נוכח בבית חולים </w:t>
      </w:r>
      <w:r>
        <w:rPr>
          <w:rFonts w:hint="cs"/>
          <w:i/>
          <w:iCs/>
        </w:rPr>
        <w:t>X</w:t>
      </w:r>
      <w:r w:rsidR="00DD67DC">
        <w:rPr>
          <w:rFonts w:hint="cs"/>
          <w:i/>
          <w:iCs/>
          <w:rtl/>
        </w:rPr>
        <w:t xml:space="preserve"> ואח היה מאושפז ואז הזמין את האחים...</w:t>
      </w:r>
      <w:r w:rsidR="00DD67DC">
        <w:rPr>
          <w:rFonts w:hint="cs"/>
          <w:rtl/>
        </w:rPr>
        <w:t xml:space="preserve">" (עמ' 5 לתמליל 8.1.23 ש' 2 ואילך). </w:t>
      </w:r>
    </w:p>
    <w:p w:rsidR="00DD67DC" w:rsidRDefault="00937577" w:rsidP="00CC72AE">
      <w:pPr>
        <w:pStyle w:val="ad"/>
        <w:spacing w:after="120" w:line="360" w:lineRule="auto"/>
        <w:ind w:left="369"/>
        <w:contextualSpacing w:val="0"/>
      </w:pPr>
      <w:r>
        <w:rPr>
          <w:rFonts w:hint="cs"/>
          <w:rtl/>
        </w:rPr>
        <w:t xml:space="preserve">כך או כך, בכל הקשור למגרש ט' </w:t>
      </w:r>
      <w:r w:rsidR="00DD67DC">
        <w:rPr>
          <w:rFonts w:hint="cs"/>
          <w:rtl/>
        </w:rPr>
        <w:t>ממילא איננו רשום כבעל זכויות במגרש ולפיכך ובכל הקשור למ</w:t>
      </w:r>
      <w:r>
        <w:rPr>
          <w:rFonts w:hint="cs"/>
          <w:rtl/>
        </w:rPr>
        <w:t>גרש, כלל לא נדרשת חתימתו של ט'</w:t>
      </w:r>
      <w:r w:rsidR="00DD67DC">
        <w:rPr>
          <w:rFonts w:hint="cs"/>
          <w:rtl/>
        </w:rPr>
        <w:t xml:space="preserve"> לחלוקה קניינית כזו או אחרת של המגרש.</w:t>
      </w:r>
    </w:p>
    <w:p w:rsidR="00DD67DC" w:rsidRDefault="00DD67DC" w:rsidP="00DD67DC">
      <w:pPr>
        <w:pStyle w:val="ad"/>
        <w:numPr>
          <w:ilvl w:val="0"/>
          <w:numId w:val="1"/>
        </w:numPr>
        <w:spacing w:after="120" w:line="360" w:lineRule="auto"/>
        <w:ind w:left="369"/>
        <w:contextualSpacing w:val="0"/>
        <w:rPr>
          <w:rFonts w:ascii="Aharoni" w:hAnsi="Aharoni" w:cs="Aharoni"/>
          <w:rtl/>
        </w:rPr>
      </w:pPr>
      <w:r>
        <w:rPr>
          <w:rFonts w:hint="cs"/>
          <w:rtl/>
        </w:rPr>
        <w:t xml:space="preserve">טענה נוספת בפי המערערים: גם אם ביהמ"ש הגיע למסקנה כי מדובר בהסכם חלוקה קנייני, הוא לא היה מוסמך להעניק לאלמנה-המשיבה את הסעד של הגדרת ההסכם כהסכם חלוקה ופירוק השיתוף בהתאם להסכם, שכן כפי שהזכרנו כבר בסעיף 9 לעיל, הסעד הראשון שהופיע בכתב התביעה היה רישום ההסכם כ'הסכם שיתוף' בלבד, בעוד הסעד של פירוק השיתוף בהתאם להסכם (היינו הסעד הקנייני) הופיע רק </w:t>
      </w:r>
      <w:r>
        <w:rPr>
          <w:rFonts w:hint="cs"/>
          <w:b/>
          <w:bCs/>
          <w:rtl/>
        </w:rPr>
        <w:t>כסעד חלופי</w:t>
      </w:r>
      <w:r>
        <w:rPr>
          <w:rFonts w:hint="cs"/>
          <w:rtl/>
        </w:rPr>
        <w:t xml:space="preserve">, ועל כן – כך לשיטת המערערים – לא היה רשאי/מוסמך ביהמ"ש "לדלג" על הסעד העיקרי אותו תבעה האלמנה (רישום הסכם השיתוף בלבד) ולהעניק לה את </w:t>
      </w:r>
      <w:r>
        <w:rPr>
          <w:rFonts w:hint="cs"/>
          <w:b/>
          <w:bCs/>
          <w:rtl/>
        </w:rPr>
        <w:t>הסעד החלופי</w:t>
      </w:r>
      <w:r>
        <w:rPr>
          <w:rFonts w:hint="cs"/>
          <w:rtl/>
        </w:rPr>
        <w:t xml:space="preserve"> הוא הסעד הקנייני. </w:t>
      </w:r>
    </w:p>
    <w:p w:rsidR="00DD67DC" w:rsidRDefault="00DD67DC" w:rsidP="00DD67DC">
      <w:pPr>
        <w:pStyle w:val="ad"/>
        <w:spacing w:after="120" w:line="360" w:lineRule="auto"/>
        <w:ind w:left="369"/>
        <w:contextualSpacing w:val="0"/>
        <w:rPr>
          <w:rFonts w:ascii="Aharoni" w:hAnsi="Aharoni" w:cs="Aharoni"/>
        </w:rPr>
      </w:pPr>
      <w:r>
        <w:rPr>
          <w:rFonts w:hint="cs"/>
          <w:rtl/>
        </w:rPr>
        <w:lastRenderedPageBreak/>
        <w:t xml:space="preserve">דין טענה זו להידחות. יתכן והיה מקום מצד האלמנה-התובעת להחליף את סדר הסעדים בכתב התביעה, או לחילופין לוותר כליל על הסעד הראשון שכן ממילא הסעד הראשון נכלל בסעד השני. ברם העובדה שסדר הסעדים מופיע בכתב התביעה באופן כזה או אחר, איננו שולל מבית המשפט להעניק דווקא את הסעד החלופי הנתבע, שכן בסופו של יום מונחים בפני בית המשפט בכתב התביעה מספר סעדים, </w:t>
      </w:r>
      <w:r>
        <w:rPr>
          <w:rFonts w:hint="cs"/>
          <w:b/>
          <w:bCs/>
          <w:rtl/>
        </w:rPr>
        <w:t>וסמכותו הטבועה של בית המשפט הינה לבחור בסעד הנראה לו הנכון ביותר מבין הסעדים הנתבעים</w:t>
      </w:r>
      <w:r>
        <w:rPr>
          <w:rFonts w:hint="cs"/>
          <w:rtl/>
        </w:rPr>
        <w:t xml:space="preserve">. משהגיע בית המשפט למסקנה כי מדובר </w:t>
      </w:r>
      <w:r>
        <w:rPr>
          <w:rFonts w:hint="cs"/>
          <w:u w:val="single"/>
          <w:rtl/>
        </w:rPr>
        <w:t>בהסכם חלוקה קנייני</w:t>
      </w:r>
      <w:r>
        <w:rPr>
          <w:rFonts w:hint="cs"/>
          <w:rtl/>
        </w:rPr>
        <w:t xml:space="preserve">, ולא רק בהסכם שיתוף המסדיר שימוש בלבד, נכון עשה בימ"ש קמא משהורה על </w:t>
      </w:r>
      <w:r>
        <w:rPr>
          <w:rFonts w:hint="cs"/>
          <w:u w:val="single"/>
          <w:rtl/>
        </w:rPr>
        <w:t>פירוק השיתוף בהתאם להסכם החלוקה הקנייני</w:t>
      </w:r>
      <w:r>
        <w:rPr>
          <w:rFonts w:hint="cs"/>
          <w:rtl/>
        </w:rPr>
        <w:t xml:space="preserve">, שכן מה הטעם להכריע שמדובר בהסכם חלוקה מחייב ומאידך להסתפק ב"סעד ביניים" של רישום ההסכם כהסכם שיתוף בלבד, שלאחריו תצטרך המשיבה להגיש תביעה נוספת לפירוק השיתוף על סמך ההסכם שהוכרע כהסכם חלוקה מחייב? &gt; ובלשונו של בימ"ש קמא בסעיף 51 לפסה"ד: </w:t>
      </w:r>
      <w:r>
        <w:rPr>
          <w:rFonts w:ascii="Aharoni" w:hAnsi="Aharoni" w:cs="Aharoni"/>
          <w:color w:val="0D0D0D"/>
          <w:rtl/>
          <w:lang w:eastAsia="he-IL"/>
        </w:rPr>
        <w:t>"התובעת עתרה למתן סעד הצהרתי לאכיפת ההסכם משנת 1980 – אם כי במהות, קבלת גרסתה מביאה להצהיר כי החלוקה בהתאם להסכם משנת 1980 הייתה סופית לקראת פירוק שיתוף."</w:t>
      </w:r>
    </w:p>
    <w:p w:rsidR="00DD67DC" w:rsidRDefault="00DD67DC" w:rsidP="00DD67DC">
      <w:pPr>
        <w:spacing w:after="120" w:line="360" w:lineRule="auto"/>
        <w:ind w:left="369"/>
        <w:jc w:val="both"/>
        <w:rPr>
          <w:rFonts w:ascii="FrankRuehl" w:hAnsi="FrankRuehl" w:cs="FrankRuehl"/>
          <w:color w:val="000000"/>
          <w:sz w:val="26"/>
          <w:szCs w:val="26"/>
          <w:rtl/>
        </w:rPr>
      </w:pPr>
      <w:r>
        <w:rPr>
          <w:rFonts w:hint="cs"/>
          <w:rtl/>
        </w:rPr>
        <w:t>לביהמ"ש נתונה הסמכות לבחור עפ"י שיקול דעתו מבין סעדי התביעה, את הסעד הנכון והצודק:</w:t>
      </w:r>
    </w:p>
    <w:p w:rsidR="00DD67DC" w:rsidRPr="00CC72AE" w:rsidRDefault="00DD67DC" w:rsidP="00CC72AE">
      <w:pPr>
        <w:spacing w:after="120" w:line="360" w:lineRule="auto"/>
        <w:ind w:left="714"/>
        <w:jc w:val="both"/>
        <w:rPr>
          <w:rFonts w:ascii="FrankRuehl" w:hAnsi="FrankRuehl" w:cs="FrankRuehl"/>
          <w:sz w:val="26"/>
          <w:szCs w:val="26"/>
          <w:rtl/>
        </w:rPr>
      </w:pPr>
      <w:r>
        <w:rPr>
          <w:rFonts w:ascii="FrankRuehl" w:hAnsi="FrankRuehl" w:cs="FrankRuehl"/>
          <w:color w:val="000000"/>
          <w:sz w:val="26"/>
          <w:szCs w:val="26"/>
          <w:rtl/>
        </w:rPr>
        <w:t xml:space="preserve">"בית משפט, באשר בית משפט הוא, קונה הוא מתוך עצמו סמכות וכוח לשקול בדעתו אם יעניק לתובע סעד שהוא מבקש או אם יעניק לו סעד אחר. תנאי מוקדם והכרחי הוא, כמובן, שתובע יוכיח כי קנויה לו זכות שהדין מכיר בה וכי הנתבע פגע בזכות זו. ואולם, משהוכיח תובע את זכותו, </w:t>
      </w:r>
      <w:r>
        <w:rPr>
          <w:rFonts w:ascii="FrankRuehl" w:hAnsi="FrankRuehl" w:cs="FrankRuehl"/>
          <w:color w:val="000000"/>
          <w:sz w:val="26"/>
          <w:szCs w:val="26"/>
          <w:u w:val="single"/>
          <w:rtl/>
        </w:rPr>
        <w:t>שאלת הסעד נתונה לשיקול דעתו של בית המשפט</w:t>
      </w:r>
      <w:r>
        <w:rPr>
          <w:rFonts w:ascii="FrankRuehl" w:hAnsi="FrankRuehl" w:cs="FrankRuehl"/>
          <w:color w:val="000000"/>
          <w:sz w:val="26"/>
          <w:szCs w:val="26"/>
          <w:rtl/>
        </w:rPr>
        <w:t>. כוחו זה לשקול בדעתו מה סעד יעניק לתובע, שואב בית המשפט מתוך עצמו. ... סמכות זו שאנו מדברים בה קנויה לבית משפט באשר בית משפט הוא. אחת משלוחותיה של סמכות-תשתית זו היא אותה סמכות שיש המכנים אותה "סמכות טבועה" או "סמכות טבעית</w:t>
      </w:r>
      <w:r>
        <w:rPr>
          <w:rFonts w:ascii="FrankRuehl" w:hAnsi="FrankRuehl" w:cs="FrankRuehl"/>
          <w:color w:val="000000"/>
          <w:sz w:val="26"/>
          <w:szCs w:val="26"/>
        </w:rPr>
        <w:t>""</w:t>
      </w:r>
      <w:r w:rsidR="00CC72AE">
        <w:rPr>
          <w:rFonts w:ascii="FrankRuehl" w:hAnsi="FrankRuehl" w:cs="FrankRuehl" w:hint="cs"/>
          <w:sz w:val="26"/>
          <w:szCs w:val="26"/>
          <w:rtl/>
        </w:rPr>
        <w:t xml:space="preserve"> (</w:t>
      </w:r>
      <w:r w:rsidRPr="00CC72AE">
        <w:rPr>
          <w:rFonts w:hint="cs"/>
          <w:color w:val="000000"/>
          <w:rtl/>
        </w:rPr>
        <w:t>רע"א 6339/97 </w:t>
      </w:r>
      <w:r>
        <w:rPr>
          <w:rFonts w:hint="cs"/>
          <w:b/>
          <w:bCs/>
          <w:color w:val="000000"/>
          <w:rtl/>
        </w:rPr>
        <w:t>משה רוקר נ' משה סלומון</w:t>
      </w:r>
      <w:r>
        <w:rPr>
          <w:rFonts w:hint="cs"/>
          <w:color w:val="000000"/>
          <w:rtl/>
        </w:rPr>
        <w:t xml:space="preserve"> (1999), סע' 19</w:t>
      </w:r>
      <w:r w:rsidR="00CC72AE">
        <w:rPr>
          <w:rFonts w:ascii="FrankRuehl" w:hAnsi="FrankRuehl" w:cs="FrankRuehl" w:hint="cs"/>
          <w:sz w:val="26"/>
          <w:szCs w:val="26"/>
          <w:rtl/>
        </w:rPr>
        <w:t>).</w:t>
      </w:r>
    </w:p>
    <w:p w:rsidR="00DD67DC" w:rsidRDefault="00DD67DC" w:rsidP="00DD67DC">
      <w:pPr>
        <w:spacing w:after="120" w:line="360" w:lineRule="auto"/>
        <w:ind w:left="369"/>
        <w:jc w:val="both"/>
        <w:rPr>
          <w:rFonts w:ascii="David" w:hAnsi="David"/>
          <w:rtl/>
        </w:rPr>
      </w:pPr>
      <w:r>
        <w:rPr>
          <w:rFonts w:ascii="Tahoma" w:hAnsi="Tahoma" w:cs="Tahoma"/>
          <w:sz w:val="20"/>
          <w:szCs w:val="20"/>
          <w:rtl/>
        </w:rPr>
        <w:t xml:space="preserve">שֹׁפְטִים וְשֹׁטְרִים תִּתֶּן לְךָ בְּכָל שְׁעָרֶיךָ...וְשָׁפְטוּ אֶת הָעָם </w:t>
      </w:r>
      <w:r>
        <w:rPr>
          <w:rFonts w:ascii="Tahoma" w:hAnsi="Tahoma" w:cs="Tahoma"/>
          <w:b/>
          <w:bCs/>
          <w:sz w:val="20"/>
          <w:szCs w:val="20"/>
          <w:rtl/>
        </w:rPr>
        <w:t>מִשְׁפַּט צֶדֶק</w:t>
      </w:r>
      <w:r>
        <w:rPr>
          <w:rFonts w:ascii="Tahoma" w:hAnsi="Tahoma" w:cs="Tahoma"/>
          <w:sz w:val="20"/>
          <w:szCs w:val="20"/>
          <w:rtl/>
        </w:rPr>
        <w:t xml:space="preserve"> </w:t>
      </w:r>
      <w:r>
        <w:rPr>
          <w:rFonts w:hint="cs"/>
          <w:sz w:val="20"/>
          <w:szCs w:val="20"/>
          <w:rtl/>
        </w:rPr>
        <w:t>(</w:t>
      </w:r>
      <w:r>
        <w:rPr>
          <w:rFonts w:hint="cs"/>
          <w:rtl/>
        </w:rPr>
        <w:t>דברים, טז, יח)</w:t>
      </w:r>
    </w:p>
    <w:p w:rsidR="00DD67DC" w:rsidRPr="00CC72AE" w:rsidRDefault="00DD67DC" w:rsidP="00CC72AE">
      <w:pPr>
        <w:spacing w:after="120" w:line="360" w:lineRule="auto"/>
        <w:ind w:left="720"/>
        <w:jc w:val="both"/>
        <w:rPr>
          <w:rFonts w:ascii="FrankRuehl" w:hAnsi="FrankRuehl" w:cs="FrankRuehl"/>
          <w:sz w:val="26"/>
          <w:szCs w:val="26"/>
          <w:rtl/>
        </w:rPr>
      </w:pPr>
      <w:r>
        <w:rPr>
          <w:rFonts w:ascii="FrankRuehl" w:hAnsi="FrankRuehl" w:cs="FrankRuehl"/>
          <w:sz w:val="26"/>
          <w:szCs w:val="26"/>
          <w:rtl/>
        </w:rPr>
        <w:t xml:space="preserve">"הסמכות הטבעית שמדובר בה במשפט זה אינה אלא אותה סמכות מינימלית בענייני נוהל, יעילות המשפט, </w:t>
      </w:r>
      <w:r>
        <w:rPr>
          <w:rFonts w:ascii="FrankRuehl" w:hAnsi="FrankRuehl" w:cs="FrankRuehl"/>
          <w:sz w:val="26"/>
          <w:szCs w:val="26"/>
          <w:u w:val="single"/>
          <w:rtl/>
        </w:rPr>
        <w:t>וצדקתו הדרושה לבית המשפט כדי שיוכל למלא את התפקיד שלמענו הוא קיים: עשיית משפט צדק</w:t>
      </w:r>
      <w:r>
        <w:rPr>
          <w:rFonts w:ascii="FrankRuehl" w:hAnsi="FrankRuehl" w:cs="FrankRuehl"/>
          <w:sz w:val="26"/>
          <w:szCs w:val="26"/>
          <w:rtl/>
        </w:rPr>
        <w:t>. סמכות זו היא הביטוי החיצוני לחוש הצדק הפנימי שהשופט ניחן בו והנותן לו פורקן בעשיה היומיומית שלו</w:t>
      </w:r>
      <w:r w:rsidR="00CC72AE">
        <w:rPr>
          <w:rFonts w:ascii="FrankRuehl" w:hAnsi="FrankRuehl" w:cs="FrankRuehl" w:hint="cs"/>
          <w:sz w:val="26"/>
          <w:szCs w:val="26"/>
          <w:rtl/>
        </w:rPr>
        <w:t xml:space="preserve">" </w:t>
      </w:r>
      <w:r w:rsidR="00CC72AE">
        <w:rPr>
          <w:rFonts w:hint="cs"/>
          <w:rtl/>
        </w:rPr>
        <w:t>(ד</w:t>
      </w:r>
      <w:r>
        <w:rPr>
          <w:rFonts w:hint="cs"/>
          <w:rtl/>
        </w:rPr>
        <w:t>"נ 22/73 </w:t>
      </w:r>
      <w:r>
        <w:rPr>
          <w:rFonts w:hint="cs"/>
          <w:b/>
          <w:bCs/>
          <w:rtl/>
        </w:rPr>
        <w:t>יגאל בן שחר נ' יוסף מחלב</w:t>
      </w:r>
      <w:r>
        <w:rPr>
          <w:rFonts w:hint="cs"/>
          <w:rtl/>
        </w:rPr>
        <w:t xml:space="preserve"> (1974), עמ' 97</w:t>
      </w:r>
      <w:r w:rsidR="00CC72AE">
        <w:rPr>
          <w:rFonts w:ascii="FrankRuehl" w:hAnsi="FrankRuehl" w:cs="FrankRuehl" w:hint="cs"/>
          <w:sz w:val="26"/>
          <w:szCs w:val="26"/>
          <w:rtl/>
        </w:rPr>
        <w:t>).</w:t>
      </w:r>
    </w:p>
    <w:p w:rsidR="00DD67DC" w:rsidRDefault="00DD67DC" w:rsidP="00CC72AE">
      <w:pPr>
        <w:spacing w:after="120" w:line="360" w:lineRule="auto"/>
        <w:ind w:left="369"/>
        <w:jc w:val="both"/>
        <w:rPr>
          <w:rtl/>
        </w:rPr>
      </w:pPr>
      <w:r>
        <w:rPr>
          <w:rFonts w:hint="cs"/>
          <w:rtl/>
        </w:rPr>
        <w:t xml:space="preserve">ובעניינינו; חלק מעשיית הצדק במסגרת תפקידו של בית המשפט בהכרעת סכסוכים, קל וחומר בסכסוכי משפחה שהינו המקרה דנן, </w:t>
      </w:r>
      <w:r>
        <w:rPr>
          <w:rFonts w:hint="cs"/>
          <w:b/>
          <w:bCs/>
          <w:rtl/>
        </w:rPr>
        <w:t xml:space="preserve">הינו לתת את הסעד </w:t>
      </w:r>
      <w:r>
        <w:rPr>
          <w:rFonts w:hint="cs"/>
          <w:b/>
          <w:bCs/>
          <w:u w:val="single"/>
          <w:rtl/>
        </w:rPr>
        <w:t>שמסיים</w:t>
      </w:r>
      <w:r>
        <w:rPr>
          <w:rFonts w:hint="cs"/>
          <w:b/>
          <w:bCs/>
          <w:rtl/>
        </w:rPr>
        <w:t xml:space="preserve"> את הסכסוך</w:t>
      </w:r>
      <w:r>
        <w:rPr>
          <w:rFonts w:hint="cs"/>
          <w:rtl/>
        </w:rPr>
        <w:t xml:space="preserve"> (ובלבד כמובן שהסעד נתבע בכתב התביעה), ואין זה משנה אם הסעד נתבע כסעד עיקרי או כסעד חלופי. </w:t>
      </w:r>
      <w:r>
        <w:rPr>
          <w:rFonts w:hint="cs"/>
          <w:u w:val="single"/>
          <w:rtl/>
        </w:rPr>
        <w:t>בפרט בנידונינו</w:t>
      </w:r>
      <w:r>
        <w:rPr>
          <w:rFonts w:hint="cs"/>
          <w:rtl/>
        </w:rPr>
        <w:t xml:space="preserve"> כאשר כלל האחים הצהירו באופן מפורש בהסכם המשלים, ש</w:t>
      </w:r>
      <w:r>
        <w:rPr>
          <w:rFonts w:hint="cs"/>
          <w:b/>
          <w:bCs/>
          <w:rtl/>
        </w:rPr>
        <w:t xml:space="preserve">"מטרתו של הסכם זה </w:t>
      </w:r>
      <w:r>
        <w:rPr>
          <w:rFonts w:hint="cs"/>
          <w:b/>
          <w:bCs/>
          <w:u w:val="single"/>
          <w:rtl/>
        </w:rPr>
        <w:t>למנוע את הבעיות אשר עלולות להיגרם בעתיד</w:t>
      </w:r>
      <w:r>
        <w:rPr>
          <w:rFonts w:hint="cs"/>
          <w:b/>
          <w:bCs/>
          <w:rtl/>
        </w:rPr>
        <w:t xml:space="preserve"> עקב מערכת היחסים שבה חיו האחים עד היום, מערכת יחסים שהייתה מוצלחת בעת שהאחים היו רווקים. המצב כיום שונה לעומת אתמול ונהיה הכרחי לתקן את המערכת הזו ע"י מערכת אחרת אשר תבטיח את המשך העבודה ואת התקדמות האחים בכל התחומים והשטחים."</w:t>
      </w:r>
      <w:r>
        <w:rPr>
          <w:rFonts w:hint="cs"/>
          <w:rtl/>
        </w:rPr>
        <w:t xml:space="preserve"> &gt;&gt; הנה כי כן, כלל האחים צפו שיכולות להיות בעתיד מחלוקות </w:t>
      </w:r>
      <w:r>
        <w:rPr>
          <w:rFonts w:hint="cs"/>
          <w:b/>
          <w:bCs/>
          <w:rtl/>
        </w:rPr>
        <w:t>ומסיבה זו</w:t>
      </w:r>
      <w:r>
        <w:rPr>
          <w:rFonts w:hint="cs"/>
          <w:rtl/>
        </w:rPr>
        <w:t xml:space="preserve"> הם ערכו את ההסכמים מתוך מטרה </w:t>
      </w:r>
      <w:r>
        <w:rPr>
          <w:rFonts w:hint="cs"/>
          <w:u w:val="single"/>
          <w:rtl/>
        </w:rPr>
        <w:t>למנוע מחלוקות עתידיות</w:t>
      </w:r>
      <w:r>
        <w:rPr>
          <w:rFonts w:hint="cs"/>
          <w:rtl/>
        </w:rPr>
        <w:t xml:space="preserve">, כך שבחירת בימ"ש קמא בסעד הסופי של פירוק השיתוף בהתאם להסכם החלוקה הקנייני, תואם גם את כוונתם של כלל האחים ואת מטרתם בעריכת </w:t>
      </w:r>
      <w:r>
        <w:rPr>
          <w:rFonts w:hint="cs"/>
          <w:rtl/>
        </w:rPr>
        <w:lastRenderedPageBreak/>
        <w:t xml:space="preserve">ההסכמים- לסיים את המחלוקות באופן סופי ולמנוע בעתיד היווצרותן של מחלוקות, קל וחומר הליכים משפטיים מיותרים, שנמנעים עם מתן הסעד של צו פירוק השיתוף בהתאם להסכם החלוקה, עליו הצהיר ביהמ"ש לאחר שהגיע למסקנה כי אכן מדובר בהסכם חלוקה, ולא בהסכם שיתוף בלבד. </w:t>
      </w:r>
    </w:p>
    <w:p w:rsidR="00DD67DC" w:rsidRDefault="00DD67DC" w:rsidP="00DD67DC">
      <w:pPr>
        <w:pStyle w:val="ad"/>
        <w:numPr>
          <w:ilvl w:val="0"/>
          <w:numId w:val="1"/>
        </w:numPr>
        <w:spacing w:after="120" w:line="360" w:lineRule="auto"/>
        <w:ind w:left="369"/>
        <w:contextualSpacing w:val="0"/>
        <w:rPr>
          <w:rtl/>
        </w:rPr>
      </w:pPr>
      <w:r>
        <w:rPr>
          <w:rFonts w:hint="cs"/>
          <w:rtl/>
        </w:rPr>
        <w:t xml:space="preserve">טענה נוספת בפי המערערים – בימ"ש קמא לא היה רשאי לקבוע כי מדובר בהסכם חלוקה קנייני, מאחר ולא ניתן, לשיטתם, ליישם את הסכם החלוקה ולרשום אותו בפועל כ'הסכם חלוקה' </w:t>
      </w:r>
      <w:r>
        <w:rPr>
          <w:rFonts w:hint="cs"/>
          <w:b/>
          <w:bCs/>
          <w:rtl/>
        </w:rPr>
        <w:t>ובשל מניעות זו היה מנוע בימ"ש קמא מלקבוע כי מדובר בהסכם חלוקה מחייב</w:t>
      </w:r>
      <w:r>
        <w:rPr>
          <w:rFonts w:hint="cs"/>
          <w:rtl/>
        </w:rPr>
        <w:t xml:space="preserve"> ו/או לתת הוראות לרישומו.</w:t>
      </w:r>
    </w:p>
    <w:p w:rsidR="00DD67DC" w:rsidRDefault="00DD67DC" w:rsidP="00CC72AE">
      <w:pPr>
        <w:pStyle w:val="ad"/>
        <w:spacing w:after="120" w:line="360" w:lineRule="auto"/>
        <w:ind w:left="369"/>
        <w:contextualSpacing w:val="0"/>
        <w:rPr>
          <w:rtl/>
        </w:rPr>
      </w:pPr>
      <w:r>
        <w:rPr>
          <w:rFonts w:hint="cs"/>
          <w:rtl/>
        </w:rPr>
        <w:t xml:space="preserve">המערערים טענו באריכות והצביעו על קשיים רבים לשיטתם, מדוע אין כל אפשרות ליישם את רישום ההסכם כהסכם חלוקה (חלק ניכר מכתב הערעור הוקדש לפירוט הקשיים המונעים לשיטת המערערים את רישום ההסכם כהסכם חלוקה), ברם אינני רואה צורך להידרש ולבחון האם אכן יש בכוחם של אותם קשיים למנוע את רישום ההסכם כהסכם חלוקה, שכן אף אם נצא מנקודת הנחה כי הצדק עם המערערים ולא ניתן יהיה לרשום את הסכם החלוקה, סבורני שהמערערים מערבבים בין </w:t>
      </w:r>
      <w:r>
        <w:rPr>
          <w:rFonts w:hint="cs"/>
          <w:u w:val="single"/>
          <w:rtl/>
        </w:rPr>
        <w:t>הכרעת</w:t>
      </w:r>
      <w:r>
        <w:rPr>
          <w:rFonts w:hint="cs"/>
          <w:rtl/>
        </w:rPr>
        <w:t xml:space="preserve"> פסה"ד לבין </w:t>
      </w:r>
      <w:r>
        <w:rPr>
          <w:rFonts w:hint="cs"/>
          <w:u w:val="single"/>
          <w:rtl/>
        </w:rPr>
        <w:t>יישום</w:t>
      </w:r>
      <w:r>
        <w:rPr>
          <w:rFonts w:hint="cs"/>
          <w:rtl/>
        </w:rPr>
        <w:t xml:space="preserve"> פסה"ד, בפרט כשהיישום מתבצע </w:t>
      </w:r>
      <w:r>
        <w:rPr>
          <w:rFonts w:hint="cs"/>
          <w:u w:val="single"/>
          <w:rtl/>
        </w:rPr>
        <w:t>אל מול הרשויות הרלוונטיות</w:t>
      </w:r>
      <w:r>
        <w:rPr>
          <w:rFonts w:hint="cs"/>
          <w:rtl/>
        </w:rPr>
        <w:t xml:space="preserve"> (המפקח על בתים משותפים ועוד): משהגיע ביהמ"ש קמא למסקנה שמדובר בהסכם חלוקה מחייב, </w:t>
      </w:r>
      <w:r>
        <w:rPr>
          <w:rFonts w:hint="cs"/>
          <w:b/>
          <w:bCs/>
          <w:rtl/>
        </w:rPr>
        <w:t>תפקידו היה להכריע ולקבוע כי מדובר בהסכם חלוקה מחייב</w:t>
      </w:r>
      <w:r>
        <w:rPr>
          <w:rFonts w:hint="cs"/>
          <w:rtl/>
        </w:rPr>
        <w:t xml:space="preserve"> </w:t>
      </w:r>
      <w:r>
        <w:rPr>
          <w:rFonts w:hint="cs"/>
          <w:b/>
          <w:bCs/>
          <w:rtl/>
        </w:rPr>
        <w:t>וליתן במסגרת סמכותו צו לפירוק השיתוף בהתאם להסכם החלוקה המחייב</w:t>
      </w:r>
      <w:r>
        <w:rPr>
          <w:rFonts w:hint="cs"/>
          <w:rtl/>
        </w:rPr>
        <w:t xml:space="preserve">. שאלת אופן </w:t>
      </w:r>
      <w:r>
        <w:rPr>
          <w:rFonts w:hint="cs"/>
          <w:u w:val="single"/>
          <w:rtl/>
        </w:rPr>
        <w:t>היישום</w:t>
      </w:r>
      <w:r>
        <w:rPr>
          <w:rFonts w:hint="cs"/>
          <w:rtl/>
        </w:rPr>
        <w:t xml:space="preserve"> של פסה"ד אל מול הרשויות, איננה רלוונטית לעניין </w:t>
      </w:r>
      <w:r>
        <w:rPr>
          <w:rFonts w:hint="cs"/>
          <w:u w:val="single"/>
          <w:rtl/>
        </w:rPr>
        <w:t>ההכרעה</w:t>
      </w:r>
      <w:r>
        <w:rPr>
          <w:rFonts w:hint="cs"/>
          <w:rtl/>
        </w:rPr>
        <w:t xml:space="preserve">; בפרט בנידונינו, כאשר בימ"ש קבע במפורש בסעיף 86 לפסה"ד כי פירוק השיתוף בהתאם להסכם החלוקה הינו </w:t>
      </w:r>
      <w:r>
        <w:rPr>
          <w:rFonts w:hint="cs"/>
          <w:b/>
          <w:bCs/>
          <w:rtl/>
        </w:rPr>
        <w:t>"</w:t>
      </w:r>
      <w:r>
        <w:rPr>
          <w:rFonts w:hint="cs"/>
          <w:b/>
          <w:bCs/>
          <w:u w:val="single"/>
          <w:rtl/>
        </w:rPr>
        <w:t>בכפוף</w:t>
      </w:r>
      <w:r>
        <w:rPr>
          <w:rFonts w:hint="cs"/>
          <w:b/>
          <w:bCs/>
          <w:rtl/>
        </w:rPr>
        <w:t xml:space="preserve"> להשגת האישורים הנדרשים..."</w:t>
      </w:r>
      <w:r>
        <w:rPr>
          <w:rFonts w:hint="cs"/>
          <w:rtl/>
        </w:rPr>
        <w:t xml:space="preserve"> &gt; היינו ככל שלא יושגו האישורים הנדרשים בהתאם לדין, יתכן שלא ניתן יהיה ליישם את פסה"ד בפועל מול הרשויות, אך אי-האפשרות ליישם פסק-דין מול הרשויות </w:t>
      </w:r>
      <w:r>
        <w:rPr>
          <w:rFonts w:hint="cs"/>
          <w:u w:val="single"/>
          <w:rtl/>
        </w:rPr>
        <w:t>איננה שוללת את תוקפו ההצהרתי</w:t>
      </w:r>
      <w:r>
        <w:rPr>
          <w:rFonts w:hint="cs"/>
          <w:rtl/>
        </w:rPr>
        <w:t xml:space="preserve">. </w:t>
      </w:r>
    </w:p>
    <w:p w:rsidR="00DD67DC" w:rsidRDefault="00DD67DC" w:rsidP="00DD67DC">
      <w:pPr>
        <w:pStyle w:val="ad"/>
        <w:numPr>
          <w:ilvl w:val="0"/>
          <w:numId w:val="1"/>
        </w:numPr>
        <w:spacing w:after="120" w:line="360" w:lineRule="auto"/>
        <w:ind w:left="369"/>
        <w:contextualSpacing w:val="0"/>
        <w:rPr>
          <w:rtl/>
        </w:rPr>
      </w:pPr>
      <w:r>
        <w:rPr>
          <w:rFonts w:hint="cs"/>
          <w:rtl/>
        </w:rPr>
        <w:t xml:space="preserve">ואכן גם מעיני ביהמ"ש לא נעלם כי נדרשות </w:t>
      </w:r>
      <w:r>
        <w:rPr>
          <w:rFonts w:hint="cs"/>
          <w:u w:val="single"/>
          <w:rtl/>
        </w:rPr>
        <w:t>פעולות מול הרשויות</w:t>
      </w:r>
      <w:r>
        <w:rPr>
          <w:rFonts w:hint="cs"/>
          <w:rtl/>
        </w:rPr>
        <w:t xml:space="preserve"> על מנת ליישם את פסה"ד – סעיפים 81-83 לפסה"ד:</w:t>
      </w:r>
    </w:p>
    <w:p w:rsidR="00DD67DC" w:rsidRDefault="00DD67DC" w:rsidP="00DD67DC">
      <w:pPr>
        <w:numPr>
          <w:ilvl w:val="0"/>
          <w:numId w:val="2"/>
        </w:numPr>
        <w:spacing w:after="120" w:line="360" w:lineRule="auto"/>
        <w:jc w:val="both"/>
        <w:rPr>
          <w:rFonts w:ascii="Aharoni" w:hAnsi="Aharoni" w:cs="Aharoni"/>
          <w:color w:val="0D0D0D"/>
          <w:lang w:eastAsia="he-IL"/>
        </w:rPr>
      </w:pPr>
      <w:r>
        <w:rPr>
          <w:rFonts w:ascii="Aharoni" w:hAnsi="Aharoni" w:cs="Aharoni"/>
          <w:color w:val="0D0D0D"/>
          <w:rtl/>
          <w:lang w:eastAsia="he-IL"/>
        </w:rPr>
        <w:t xml:space="preserve">לא נעלם מעיניי, כי נדרשות פעולות נוספות, במישור היחסים בין הנתבעים לתובעת, ובינם לבין עצמם, להתאמת חלקו של כל אחד מהם בלשכת רישום המקרקעין. על אף האמור, </w:t>
      </w:r>
      <w:r>
        <w:rPr>
          <w:rFonts w:ascii="Aharoni" w:hAnsi="Aharoni" w:cs="Aharoni"/>
          <w:color w:val="0D0D0D"/>
          <w:u w:val="single"/>
          <w:rtl/>
          <w:lang w:eastAsia="he-IL"/>
        </w:rPr>
        <w:t>אי השלמת ההעברות אלו אינו פוגע בגמירת דעתם של הצדדים לפיה תשריט החלוקה מהווה חלוקה קניינית ביניהם</w:t>
      </w:r>
      <w:r>
        <w:rPr>
          <w:rFonts w:ascii="Aharoni" w:hAnsi="Aharoni" w:cs="Aharoni"/>
          <w:color w:val="0D0D0D"/>
          <w:rtl/>
          <w:lang w:eastAsia="he-IL"/>
        </w:rPr>
        <w:t>.</w:t>
      </w:r>
    </w:p>
    <w:p w:rsidR="00DD67DC" w:rsidRDefault="00DD67DC" w:rsidP="00DD67DC">
      <w:pPr>
        <w:numPr>
          <w:ilvl w:val="0"/>
          <w:numId w:val="2"/>
        </w:numPr>
        <w:spacing w:after="120" w:line="360" w:lineRule="auto"/>
        <w:jc w:val="both"/>
        <w:rPr>
          <w:rFonts w:ascii="Aharoni" w:hAnsi="Aharoni" w:cs="Aharoni"/>
          <w:color w:val="0D0D0D"/>
          <w:rtl/>
          <w:lang w:eastAsia="he-IL"/>
        </w:rPr>
      </w:pPr>
      <w:r>
        <w:rPr>
          <w:rFonts w:ascii="Aharoni" w:hAnsi="Aharoni" w:cs="Aharoni"/>
          <w:color w:val="0D0D0D"/>
          <w:rtl/>
          <w:lang w:eastAsia="he-IL"/>
        </w:rPr>
        <w:t xml:space="preserve">אני ער לכך, כי תשריט החלוקה לא אושר על ידי הועדה המקומית לתכנון ובניה לפי דרישת סעיף 137 לחוק התכנון והבניה, ולא אושר על ידי המפקח על רישום מקרקעין על פי דרישת סעיף 38 (א) לחוק המקרקעין, אולם, נתלווה אליו, מלבד החזקה הבלעדית בקרקע, האקט החשוב ביותר  </w:t>
      </w:r>
    </w:p>
    <w:p w:rsidR="00DD67DC" w:rsidRDefault="00DD67DC" w:rsidP="00DD67DC">
      <w:pPr>
        <w:numPr>
          <w:ilvl w:val="0"/>
          <w:numId w:val="2"/>
        </w:numPr>
        <w:spacing w:after="120" w:line="360" w:lineRule="auto"/>
        <w:jc w:val="both"/>
        <w:rPr>
          <w:rFonts w:ascii="Aharoni" w:hAnsi="Aharoni" w:cs="Aharoni"/>
          <w:color w:val="0D0D0D"/>
          <w:lang w:eastAsia="he-IL"/>
        </w:rPr>
      </w:pPr>
      <w:r>
        <w:rPr>
          <w:rFonts w:ascii="Aharoni" w:hAnsi="Aharoni" w:cs="Aharoni"/>
          <w:color w:val="0D0D0D"/>
          <w:rtl/>
          <w:lang w:eastAsia="he-IL"/>
        </w:rPr>
        <w:t>אבהיר בהקשר זה, כי אף אישורו של תשריט כאמור על ידי רשויות התכנון, אינו יכול להקנות לו מעמד קנייני. אם כי, יכול להוות אינדיקציה מתוך מכלול, לגבי אומד דעתם של הצדדים בעת עריכת התשריט.</w:t>
      </w:r>
    </w:p>
    <w:p w:rsidR="00DD67DC" w:rsidRDefault="00DD67DC" w:rsidP="00DD67DC">
      <w:pPr>
        <w:pStyle w:val="ad"/>
        <w:spacing w:after="120" w:line="360" w:lineRule="auto"/>
        <w:ind w:left="369"/>
        <w:contextualSpacing w:val="0"/>
        <w:rPr>
          <w:rtl/>
        </w:rPr>
      </w:pPr>
      <w:r>
        <w:rPr>
          <w:rFonts w:hint="cs"/>
          <w:u w:val="single"/>
          <w:rtl/>
        </w:rPr>
        <w:t xml:space="preserve">אכן </w:t>
      </w:r>
      <w:r>
        <w:rPr>
          <w:rFonts w:hint="cs"/>
          <w:b/>
          <w:bCs/>
          <w:u w:val="single"/>
          <w:rtl/>
        </w:rPr>
        <w:t>הכרעה</w:t>
      </w:r>
      <w:r>
        <w:rPr>
          <w:rFonts w:hint="cs"/>
          <w:u w:val="single"/>
          <w:rtl/>
        </w:rPr>
        <w:t xml:space="preserve"> לחוד, </w:t>
      </w:r>
      <w:r>
        <w:rPr>
          <w:rFonts w:hint="cs"/>
          <w:b/>
          <w:bCs/>
          <w:u w:val="single"/>
          <w:rtl/>
        </w:rPr>
        <w:t>ויישום</w:t>
      </w:r>
      <w:r>
        <w:rPr>
          <w:rFonts w:hint="cs"/>
          <w:u w:val="single"/>
          <w:rtl/>
        </w:rPr>
        <w:t xml:space="preserve"> ההכרעה מול הרשויות לחוד</w:t>
      </w:r>
      <w:r>
        <w:rPr>
          <w:rFonts w:hint="cs"/>
          <w:rtl/>
        </w:rPr>
        <w:t>.</w:t>
      </w:r>
    </w:p>
    <w:p w:rsidR="00DD67DC" w:rsidRDefault="00DD67DC" w:rsidP="00DD67DC">
      <w:pPr>
        <w:pStyle w:val="ad"/>
        <w:numPr>
          <w:ilvl w:val="0"/>
          <w:numId w:val="1"/>
        </w:numPr>
        <w:spacing w:after="120" w:line="360" w:lineRule="auto"/>
        <w:ind w:left="369"/>
        <w:contextualSpacing w:val="0"/>
        <w:rPr>
          <w:rtl/>
        </w:rPr>
      </w:pPr>
      <w:r>
        <w:rPr>
          <w:rFonts w:hint="cs"/>
          <w:rtl/>
        </w:rPr>
        <w:t xml:space="preserve">מסיבה זו גם אינני מוצא לנכון להידרש ל"ראיות החדשות" שהמציאה האלמנה-המשיבה בכתב תשובתה המוכיחות לשיטתה את אפשרות יישום פסק הדין. </w:t>
      </w:r>
    </w:p>
    <w:p w:rsidR="00DD67DC" w:rsidRDefault="00DD67DC" w:rsidP="00DD67DC">
      <w:pPr>
        <w:pStyle w:val="ad"/>
        <w:spacing w:after="120" w:line="360" w:lineRule="auto"/>
        <w:ind w:left="369"/>
        <w:contextualSpacing w:val="0"/>
      </w:pPr>
      <w:r>
        <w:rPr>
          <w:rFonts w:hint="cs"/>
          <w:rtl/>
        </w:rPr>
        <w:lastRenderedPageBreak/>
        <w:t xml:space="preserve">בית משפט קמא הכריע בענין נפקותו המשפטית של ההסכם וקבע כי הוא הסכם חלוקה קנייני ומשכך נתן צו פירוק שיתוף כפוף לכל הפעולות והאישורים הנדרשים . </w:t>
      </w:r>
    </w:p>
    <w:p w:rsidR="00DD67DC" w:rsidRDefault="00DD67DC" w:rsidP="00DD67DC">
      <w:pPr>
        <w:pStyle w:val="ad"/>
        <w:spacing w:after="120" w:line="360" w:lineRule="auto"/>
        <w:ind w:left="369"/>
        <w:contextualSpacing w:val="0"/>
        <w:rPr>
          <w:rtl/>
        </w:rPr>
      </w:pPr>
      <w:r>
        <w:rPr>
          <w:rFonts w:hint="cs"/>
          <w:rtl/>
        </w:rPr>
        <w:t>ככל שימציא מי מהצדדים החלטה מאת הגורם הממונה על הרישום על פי הדין והתקנות כי לא ניתן לרשום את החלוקה מושא פסק הדין קמא , כי אז יפנו הצדדים לבית משפט קמא אשר יחליט בדבר על פי חוכמתו .</w:t>
      </w:r>
    </w:p>
    <w:p w:rsidR="00DD67DC" w:rsidRDefault="00DD67DC" w:rsidP="00DD67DC">
      <w:pPr>
        <w:pStyle w:val="ad"/>
        <w:numPr>
          <w:ilvl w:val="0"/>
          <w:numId w:val="1"/>
        </w:numPr>
        <w:spacing w:after="120" w:line="360" w:lineRule="auto"/>
        <w:ind w:left="369"/>
        <w:contextualSpacing w:val="0"/>
      </w:pPr>
      <w:r>
        <w:rPr>
          <w:rFonts w:hint="cs"/>
          <w:rtl/>
        </w:rPr>
        <w:t>סוף דבר ולאור כל האמור לעיל, דין הערעור להידחות תוך חיוב המערערים בהוצאות המשיבה בסך 15,000 ₪.</w:t>
      </w:r>
    </w:p>
    <w:p w:rsidR="00DD67DC" w:rsidRDefault="00DD67DC" w:rsidP="00DD67DC">
      <w:pPr>
        <w:spacing w:after="120" w:line="360" w:lineRule="auto"/>
        <w:jc w:val="both"/>
        <w:rPr>
          <w:rtl/>
        </w:rPr>
      </w:pPr>
    </w:p>
    <w:p w:rsidR="00CC72AE" w:rsidRDefault="00CC72AE" w:rsidP="00DD67DC">
      <w:pPr>
        <w:spacing w:after="120" w:line="360" w:lineRule="auto"/>
        <w:jc w:val="both"/>
        <w:rPr>
          <w:rtl/>
        </w:rPr>
      </w:pPr>
      <w:r w:rsidRPr="00CC72AE">
        <w:rPr>
          <w:rFonts w:hint="cs"/>
          <w:b/>
          <w:bCs/>
          <w:u w:val="single"/>
          <w:rtl/>
        </w:rPr>
        <w:t>השופט חננאל שרעבי, אב"ד</w:t>
      </w:r>
      <w:r>
        <w:rPr>
          <w:rFonts w:hint="cs"/>
          <w:rtl/>
        </w:rPr>
        <w:t>:</w:t>
      </w:r>
    </w:p>
    <w:p w:rsidR="00CC72AE" w:rsidRDefault="00CC72AE" w:rsidP="00DD67DC">
      <w:pPr>
        <w:spacing w:after="120" w:line="360" w:lineRule="auto"/>
        <w:jc w:val="both"/>
        <w:rPr>
          <w:rtl/>
        </w:rPr>
      </w:pPr>
      <w:r>
        <w:rPr>
          <w:rFonts w:hint="cs"/>
          <w:rtl/>
        </w:rPr>
        <w:t>אני מסכים.</w:t>
      </w:r>
    </w:p>
    <w:p w:rsidR="00CC72AE" w:rsidRDefault="00CC72AE" w:rsidP="00DD67DC">
      <w:pPr>
        <w:spacing w:after="120" w:line="360" w:lineRule="auto"/>
        <w:jc w:val="both"/>
        <w:rPr>
          <w:rtl/>
        </w:rPr>
      </w:pPr>
    </w:p>
    <w:p w:rsidR="00CC72AE" w:rsidRDefault="00CC72AE" w:rsidP="00DD67DC">
      <w:pPr>
        <w:spacing w:after="120" w:line="360" w:lineRule="auto"/>
        <w:jc w:val="both"/>
        <w:rPr>
          <w:rtl/>
        </w:rPr>
      </w:pPr>
      <w:r w:rsidRPr="00CC72AE">
        <w:rPr>
          <w:rFonts w:hint="cs"/>
          <w:b/>
          <w:bCs/>
          <w:u w:val="single"/>
          <w:rtl/>
        </w:rPr>
        <w:t>השופטת אספרנצה אלון</w:t>
      </w:r>
      <w:r>
        <w:rPr>
          <w:rFonts w:hint="cs"/>
          <w:rtl/>
        </w:rPr>
        <w:t>:</w:t>
      </w:r>
    </w:p>
    <w:p w:rsidR="00694556" w:rsidRPr="00C770E3" w:rsidRDefault="00CC72AE" w:rsidP="00CC72AE">
      <w:pPr>
        <w:spacing w:after="120" w:line="360" w:lineRule="auto"/>
        <w:jc w:val="both"/>
        <w:rPr>
          <w:rFonts w:ascii="Arial" w:hAnsi="Arial"/>
          <w:noProof w:val="0"/>
          <w:rtl/>
        </w:rPr>
      </w:pPr>
      <w:r>
        <w:rPr>
          <w:rFonts w:hint="cs"/>
          <w:rtl/>
        </w:rPr>
        <w:t>אני מסכימה.</w:t>
      </w:r>
    </w:p>
    <w:p w:rsidR="00694556" w:rsidRDefault="00694556" w:rsidP="00DD67DC">
      <w:pPr>
        <w:spacing w:line="360" w:lineRule="auto"/>
        <w:jc w:val="both"/>
        <w:rPr>
          <w:rFonts w:ascii="Arial" w:hAnsi="Arial"/>
          <w:noProof w:val="0"/>
          <w:rtl/>
        </w:rPr>
      </w:pPr>
    </w:p>
    <w:p w:rsidR="00CA42F9" w:rsidRDefault="00CA42F9" w:rsidP="00CA42F9">
      <w:pPr>
        <w:spacing w:after="120" w:line="360" w:lineRule="auto"/>
        <w:jc w:val="both"/>
        <w:rPr>
          <w:rFonts w:ascii="Arial" w:hAnsi="Arial"/>
          <w:b/>
          <w:bCs/>
          <w:noProof w:val="0"/>
        </w:rPr>
      </w:pPr>
      <w:r>
        <w:rPr>
          <w:rFonts w:ascii="Arial" w:hAnsi="Arial"/>
          <w:b/>
          <w:bCs/>
          <w:noProof w:val="0"/>
          <w:rtl/>
        </w:rPr>
        <w:t xml:space="preserve">לאור כל האמור לעיל, הערעור נדחה פה אחד. </w:t>
      </w:r>
    </w:p>
    <w:p w:rsidR="00CA42F9" w:rsidRDefault="00CA42F9" w:rsidP="00CA42F9">
      <w:pPr>
        <w:spacing w:after="120" w:line="360" w:lineRule="auto"/>
        <w:jc w:val="both"/>
        <w:rPr>
          <w:rFonts w:ascii="Arial" w:hAnsi="Arial"/>
          <w:noProof w:val="0"/>
          <w:rtl/>
        </w:rPr>
      </w:pPr>
      <w:r>
        <w:rPr>
          <w:rFonts w:ascii="Arial" w:hAnsi="Arial"/>
          <w:b/>
          <w:bCs/>
          <w:noProof w:val="0"/>
          <w:rtl/>
        </w:rPr>
        <w:t>המערער</w:t>
      </w:r>
      <w:r>
        <w:rPr>
          <w:rFonts w:ascii="Arial" w:hAnsi="Arial" w:hint="cs"/>
          <w:b/>
          <w:bCs/>
          <w:noProof w:val="0"/>
          <w:rtl/>
        </w:rPr>
        <w:t>ים</w:t>
      </w:r>
      <w:r w:rsidR="00555386">
        <w:rPr>
          <w:rFonts w:ascii="Arial" w:hAnsi="Arial" w:hint="cs"/>
          <w:b/>
          <w:bCs/>
          <w:noProof w:val="0"/>
          <w:rtl/>
        </w:rPr>
        <w:t>, יחד ולחוד,</w:t>
      </w:r>
      <w:r>
        <w:rPr>
          <w:rFonts w:ascii="Arial" w:hAnsi="Arial"/>
          <w:b/>
          <w:bCs/>
          <w:noProof w:val="0"/>
          <w:rtl/>
        </w:rPr>
        <w:t xml:space="preserve"> </w:t>
      </w:r>
      <w:r>
        <w:rPr>
          <w:rFonts w:ascii="David" w:hAnsi="David"/>
          <w:b/>
          <w:bCs/>
          <w:rtl/>
        </w:rPr>
        <w:t>ישא</w:t>
      </w:r>
      <w:r>
        <w:rPr>
          <w:rFonts w:ascii="David" w:hAnsi="David" w:hint="cs"/>
          <w:b/>
          <w:bCs/>
          <w:rtl/>
        </w:rPr>
        <w:t>ו</w:t>
      </w:r>
      <w:r>
        <w:rPr>
          <w:rFonts w:ascii="David" w:hAnsi="David"/>
          <w:b/>
          <w:bCs/>
          <w:rtl/>
        </w:rPr>
        <w:t xml:space="preserve"> בהוצאות המשיב</w:t>
      </w:r>
      <w:r>
        <w:rPr>
          <w:rFonts w:ascii="David" w:hAnsi="David" w:hint="cs"/>
          <w:b/>
          <w:bCs/>
          <w:rtl/>
        </w:rPr>
        <w:t>ה</w:t>
      </w:r>
      <w:r>
        <w:rPr>
          <w:rFonts w:ascii="David" w:hAnsi="David"/>
          <w:b/>
          <w:bCs/>
          <w:rtl/>
        </w:rPr>
        <w:t xml:space="preserve"> בערעור זה בשיעור של 15,000 ₪, באמצעות הערבון שהפקיד</w:t>
      </w:r>
      <w:r>
        <w:rPr>
          <w:rFonts w:ascii="David" w:hAnsi="David" w:hint="cs"/>
          <w:b/>
          <w:bCs/>
          <w:rtl/>
        </w:rPr>
        <w:t>ו</w:t>
      </w:r>
      <w:r>
        <w:rPr>
          <w:rFonts w:ascii="David" w:hAnsi="David"/>
          <w:b/>
          <w:bCs/>
          <w:rtl/>
        </w:rPr>
        <w:t xml:space="preserve"> בתיק הערעור דנן, שיועבר לידי המשיב</w:t>
      </w:r>
      <w:r>
        <w:rPr>
          <w:rFonts w:ascii="David" w:hAnsi="David" w:hint="cs"/>
          <w:b/>
          <w:bCs/>
          <w:rtl/>
        </w:rPr>
        <w:t>ה</w:t>
      </w:r>
      <w:r>
        <w:rPr>
          <w:rFonts w:ascii="David" w:hAnsi="David"/>
          <w:b/>
          <w:bCs/>
          <w:rtl/>
        </w:rPr>
        <w:t>, באמצעות בא כוח</w:t>
      </w:r>
      <w:r>
        <w:rPr>
          <w:rFonts w:ascii="David" w:hAnsi="David" w:hint="cs"/>
          <w:b/>
          <w:bCs/>
          <w:rtl/>
        </w:rPr>
        <w:t>ה</w:t>
      </w:r>
      <w:r>
        <w:rPr>
          <w:rFonts w:ascii="David" w:hAnsi="David"/>
          <w:b/>
          <w:bCs/>
          <w:rtl/>
        </w:rPr>
        <w:t xml:space="preserve">.  </w:t>
      </w:r>
    </w:p>
    <w:p w:rsidR="00CA42F9" w:rsidRDefault="00CA42F9" w:rsidP="00CA42F9">
      <w:pPr>
        <w:spacing w:line="360" w:lineRule="auto"/>
        <w:jc w:val="both"/>
        <w:rPr>
          <w:rFonts w:ascii="Arial" w:hAnsi="Arial"/>
          <w:noProof w:val="0"/>
          <w:rtl/>
        </w:rPr>
      </w:pPr>
    </w:p>
    <w:p w:rsidR="00694556" w:rsidRPr="00C770E3" w:rsidRDefault="00CA42F9" w:rsidP="00CA42F9">
      <w:pPr>
        <w:spacing w:line="360" w:lineRule="auto"/>
        <w:jc w:val="both"/>
        <w:rPr>
          <w:rFonts w:ascii="Arial" w:hAnsi="Arial"/>
          <w:noProof w:val="0"/>
          <w:rtl/>
        </w:rPr>
      </w:pPr>
      <w:r>
        <w:rPr>
          <w:rFonts w:ascii="Arial" w:hAnsi="Arial"/>
          <w:noProof w:val="0"/>
          <w:rtl/>
        </w:rPr>
        <w:t>פסק דין זה מותר לפרסום בהשמטת שמות הצדדים וכל פרט מזהה אחר.</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יוני 2024</w:t>
          </w:r>
        </w:sdtContent>
      </w:sdt>
      <w:r w:rsidR="00005C8B">
        <w:rPr>
          <w:rFonts w:ascii="Arial" w:hAnsi="Arial"/>
          <w:noProof w:val="0"/>
          <w:rtl/>
        </w:rPr>
        <w:t>, בהעדר הצדדים.</w:t>
      </w:r>
    </w:p>
    <w:p w:rsidR="00CA42F9" w:rsidRDefault="00CA42F9" w:rsidP="00860102">
      <w:pPr>
        <w:spacing w:line="360" w:lineRule="auto"/>
        <w:jc w:val="both"/>
        <w:rPr>
          <w:rFonts w:ascii="Arial" w:hAnsi="Arial"/>
          <w:noProof w:val="0"/>
          <w:rtl/>
        </w:rPr>
      </w:pPr>
    </w:p>
    <w:p w:rsidR="00CA42F9" w:rsidRPr="00EC12BC" w:rsidRDefault="00CA42F9"/>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CA42F9" w:rsidRPr="00EC12BC" w:rsidTr="000210FB">
        <w:tc>
          <w:tcPr>
            <w:tcW w:w="2796" w:type="dxa"/>
            <w:tcBorders>
              <w:top w:val="nil"/>
              <w:left w:val="nil"/>
              <w:bottom w:val="single" w:sz="4" w:space="0" w:color="auto"/>
              <w:right w:val="nil"/>
            </w:tcBorders>
            <w:vAlign w:val="bottom"/>
          </w:tcPr>
          <w:p w:rsidR="00CA42F9" w:rsidRPr="00EC12BC" w:rsidRDefault="00CA42F9"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CA42F9" w:rsidRPr="00EC12BC" w:rsidRDefault="00CA42F9"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CA42F9" w:rsidRPr="00EC12BC" w:rsidRDefault="00CA42F9"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CA42F9" w:rsidRPr="00EC12BC" w:rsidRDefault="00CA42F9"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CA42F9" w:rsidRPr="00EC12BC" w:rsidRDefault="00CA42F9"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CA42F9" w:rsidRPr="00EC12BC" w:rsidTr="000210FB">
        <w:tc>
          <w:tcPr>
            <w:tcW w:w="2796" w:type="dxa"/>
            <w:tcBorders>
              <w:top w:val="single" w:sz="4" w:space="0" w:color="auto"/>
              <w:left w:val="nil"/>
              <w:bottom w:val="nil"/>
              <w:right w:val="nil"/>
            </w:tcBorders>
          </w:tcPr>
          <w:p w:rsidR="00CA42F9" w:rsidRDefault="00CA42F9" w:rsidP="00BB162B">
            <w:pPr>
              <w:jc w:val="center"/>
              <w:rPr>
                <w:b/>
                <w:bCs/>
                <w:rtl/>
              </w:rPr>
            </w:pPr>
            <w:r>
              <w:rPr>
                <w:rFonts w:hint="cs"/>
                <w:b/>
                <w:bCs/>
                <w:rtl/>
              </w:rPr>
              <w:t>ח. שרעבי, שופט</w:t>
            </w:r>
          </w:p>
          <w:p w:rsidR="00CA42F9" w:rsidRPr="00EC12BC" w:rsidRDefault="00CA42F9" w:rsidP="00BB162B">
            <w:pPr>
              <w:jc w:val="center"/>
              <w:rPr>
                <w:b/>
                <w:bCs/>
              </w:rPr>
            </w:pPr>
            <w:r>
              <w:rPr>
                <w:rFonts w:hint="cs"/>
                <w:b/>
                <w:bCs/>
                <w:rtl/>
              </w:rPr>
              <w:t>אב"ד</w:t>
            </w:r>
          </w:p>
        </w:tc>
        <w:tc>
          <w:tcPr>
            <w:tcW w:w="354" w:type="dxa"/>
          </w:tcPr>
          <w:p w:rsidR="00CA42F9" w:rsidRPr="00EC12BC" w:rsidRDefault="00CA42F9" w:rsidP="00BB162B">
            <w:pPr>
              <w:spacing w:line="360" w:lineRule="auto"/>
              <w:rPr>
                <w:b/>
                <w:bCs/>
                <w:color w:val="FF0000"/>
              </w:rPr>
            </w:pPr>
          </w:p>
        </w:tc>
        <w:tc>
          <w:tcPr>
            <w:tcW w:w="2312" w:type="dxa"/>
            <w:tcBorders>
              <w:top w:val="single" w:sz="4" w:space="0" w:color="auto"/>
              <w:left w:val="nil"/>
              <w:bottom w:val="nil"/>
              <w:right w:val="nil"/>
            </w:tcBorders>
          </w:tcPr>
          <w:p w:rsidR="00CA42F9" w:rsidRPr="00EC12BC" w:rsidRDefault="00CA42F9" w:rsidP="00BB162B">
            <w:pPr>
              <w:spacing w:line="360" w:lineRule="auto"/>
              <w:jc w:val="center"/>
              <w:rPr>
                <w:b/>
                <w:bCs/>
              </w:rPr>
            </w:pPr>
            <w:r>
              <w:rPr>
                <w:rFonts w:hint="cs"/>
                <w:b/>
                <w:bCs/>
                <w:rtl/>
              </w:rPr>
              <w:t>א. אלון, שופטת</w:t>
            </w:r>
          </w:p>
        </w:tc>
        <w:tc>
          <w:tcPr>
            <w:tcW w:w="341" w:type="dxa"/>
          </w:tcPr>
          <w:p w:rsidR="00CA42F9" w:rsidRPr="00EC12BC" w:rsidRDefault="00CA42F9" w:rsidP="00BB162B">
            <w:pPr>
              <w:spacing w:line="360" w:lineRule="auto"/>
              <w:rPr>
                <w:b/>
                <w:bCs/>
                <w:color w:val="FF0000"/>
              </w:rPr>
            </w:pPr>
          </w:p>
        </w:tc>
        <w:tc>
          <w:tcPr>
            <w:tcW w:w="2503" w:type="dxa"/>
            <w:tcBorders>
              <w:top w:val="single" w:sz="4" w:space="0" w:color="auto"/>
              <w:left w:val="nil"/>
              <w:bottom w:val="nil"/>
              <w:right w:val="nil"/>
            </w:tcBorders>
          </w:tcPr>
          <w:p w:rsidR="00CA42F9" w:rsidRPr="00EC12BC" w:rsidRDefault="00CA42F9" w:rsidP="00BB162B">
            <w:pPr>
              <w:spacing w:line="360" w:lineRule="auto"/>
              <w:jc w:val="center"/>
              <w:rPr>
                <w:b/>
                <w:bCs/>
                <w:rtl/>
              </w:rPr>
            </w:pPr>
            <w:r>
              <w:rPr>
                <w:rFonts w:hint="cs"/>
                <w:b/>
                <w:bCs/>
                <w:rtl/>
              </w:rPr>
              <w:t>א. נאמן, שופט</w:t>
            </w:r>
          </w:p>
        </w:tc>
      </w:tr>
    </w:tbl>
    <w:p w:rsidR="00694556" w:rsidRDefault="00BD6531" w:rsidP="00CC72AE">
      <w:pPr>
        <w:tabs>
          <w:tab w:val="left" w:pos="2553"/>
        </w:tabs>
        <w:rPr>
          <w:rFonts w:ascii="Arial" w:hAnsi="Arial"/>
          <w:noProof w:val="0"/>
          <w:rtl/>
        </w:rPr>
      </w:pPr>
      <w:r>
        <w:rPr>
          <w:rFonts w:hint="cs"/>
          <w:rtl/>
        </w:rPr>
        <w:tab/>
      </w:r>
      <w:r>
        <w:rPr>
          <w:rFonts w:hint="cs"/>
          <w:rtl/>
        </w:rPr>
        <w:tab/>
      </w:r>
      <w:r>
        <w:rPr>
          <w:rFonts w:hint="cs"/>
          <w:rtl/>
        </w:rPr>
        <w:tab/>
        <w:t xml:space="preserve">        </w:t>
      </w:r>
    </w:p>
    <w:sectPr w:rsidR="00694556" w:rsidSect="00DD67DC">
      <w:headerReference w:type="even" r:id="rId14"/>
      <w:headerReference w:type="default" r:id="rId15"/>
      <w:footerReference w:type="even" r:id="rId16"/>
      <w:footerReference w:type="default" r:id="rId17"/>
      <w:headerReference w:type="first" r:id="rId18"/>
      <w:footerReference w:type="first" r:id="rId19"/>
      <w:pgSz w:w="11907" w:h="16840" w:code="9"/>
      <w:pgMar w:top="1440" w:right="992" w:bottom="1440" w:left="1134"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3F3" w:rsidRDefault="00D433F3">
      <w:r>
        <w:separator/>
      </w:r>
    </w:p>
  </w:endnote>
  <w:endnote w:type="continuationSeparator" w:id="0">
    <w:p w:rsidR="00D433F3" w:rsidRDefault="00D4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D44" w:rsidRDefault="00281D4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281D4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281D44">
      <w:rPr>
        <w:rStyle w:val="ab"/>
        <w:rFonts w:ascii="David" w:hAnsi="David"/>
        <w:rtl/>
      </w:rPr>
      <w:t>10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D44" w:rsidRDefault="00281D4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3F3" w:rsidRDefault="00D433F3">
      <w:r>
        <w:separator/>
      </w:r>
    </w:p>
  </w:footnote>
  <w:footnote w:type="continuationSeparator" w:id="0">
    <w:p w:rsidR="00D433F3" w:rsidRDefault="00D43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D44" w:rsidRDefault="00281D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DD67DC" w:rsidRDefault="00D433F3" w:rsidP="00763A0C">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31192-01-24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63A0C">
                <w:rPr>
                  <w:rFonts w:hint="cs"/>
                  <w:b/>
                  <w:bCs/>
                  <w:noProof w:val="0"/>
                  <w:sz w:val="26"/>
                  <w:szCs w:val="26"/>
                  <w:rtl/>
                </w:rPr>
                <w:t>ש'</w:t>
              </w:r>
              <w:r w:rsidR="00424313">
                <w:rPr>
                  <w:b/>
                  <w:bCs/>
                  <w:noProof w:val="0"/>
                  <w:sz w:val="26"/>
                  <w:szCs w:val="26"/>
                  <w:rtl/>
                </w:rPr>
                <w:t xml:space="preserve"> ואח' נ' </w:t>
              </w:r>
              <w:r w:rsidR="00763A0C">
                <w:rPr>
                  <w:rFonts w:hint="cs"/>
                  <w:b/>
                  <w:bCs/>
                  <w:noProof w:val="0"/>
                  <w:sz w:val="26"/>
                  <w:szCs w:val="26"/>
                  <w:rtl/>
                </w:rPr>
                <w:t>ש'</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D44" w:rsidRDefault="00281D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B15780"/>
    <w:multiLevelType w:val="hybridMultilevel"/>
    <w:tmpl w:val="1D3ABBAE"/>
    <w:lvl w:ilvl="0" w:tplc="9B081008">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3C367A"/>
    <w:multiLevelType w:val="hybridMultilevel"/>
    <w:tmpl w:val="E2F8FF4C"/>
    <w:lvl w:ilvl="0" w:tplc="0409000F">
      <w:start w:val="78"/>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68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6825&amp;lt;/CaseID&amp;gt;_x000d__x000a_        &amp;lt;CaseMonth&amp;gt;1&amp;lt;/CaseMonth&amp;gt;_x000d__x000a_        &amp;lt;CaseYear&amp;gt;2024&amp;lt;/CaseYear&amp;gt;_x000d__x000a_        &amp;lt;CaseNumber&amp;gt;31192&amp;lt;/CaseNumber&amp;gt;_x000d__x000a_        &amp;lt;NumeratorGroupID&amp;gt;1&amp;lt;/NumeratorGroupID&amp;gt;_x000d__x000a_        &amp;lt;CaseName&amp;gt;שוקייר ואח&amp;#39; נ&amp;#39; שוקייר&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1192-01-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1-14T11:57: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נשאר בלשכה מדיון נדחה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6825&amp;lt;/CaseID&amp;gt;_x000d__x000a_        &amp;lt;CaseMonth&amp;gt;1&amp;lt;/CaseMonth&amp;gt;_x000d__x000a_        &amp;lt;CaseYear&amp;gt;2024&amp;lt;/CaseYear&amp;gt;_x000d__x000a_        &amp;lt;CaseNumber&amp;gt;31192&amp;lt;/CaseNumber&amp;gt;_x000d__x000a_        &amp;lt;NumeratorGroupID&amp;gt;1&amp;lt;/NumeratorGroupID&amp;gt;_x000d__x000a_        &amp;lt;CaseName&amp;gt;שוקייר ואח&amp;#39; נ&amp;#39; שוקייר&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1192-01-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1-14T11:57: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נשאר בלשכה מדיון נדחה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08349&amp;lt;/DecisionID&amp;gt;_x000d__x000a_        &amp;lt;DecisionName&amp;gt;פסק דין  שניתנה ע&amp;quot;י  חננאל שרעבי&amp;lt;/DecisionName&amp;gt;_x000d__x000a_        &amp;lt;DecisionStatusID&amp;gt;1&amp;lt;/DecisionStatusID&amp;gt;_x000d__x000a_        &amp;lt;DecisionStatusChangeDate&amp;gt;2024-06-13T10:44:48.347+03:00&amp;lt;/DecisionStatusChangeDate&amp;gt;_x000d__x000a_        &amp;lt;DecisionSignatureDate&amp;gt;2024-06-13T10:25:44.777+03:00&amp;lt;/DecisionSignatureDate&amp;gt;_x000d__x000a_        &amp;lt;DecisionSignatureUserID&amp;gt;056479827@GOV.IL&amp;lt;/DecisionSignatureUserID&amp;gt;_x000d__x000a_        &amp;lt;DecisionCreateDate&amp;gt;2024-06-13T10:31:07.443+03:00&amp;lt;/DecisionCreateDate&amp;gt;_x000d__x000a_        &amp;lt;DecisionChangeDate&amp;gt;2024-06-13T10:44:48.37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70687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2208349&amp;lt;/DecisionID&amp;gt;_x000d__x000a_        &amp;lt;CaseID&amp;gt;80906825&amp;lt;/CaseID&amp;gt;_x000d__x000a_        &amp;lt;IsOriginal&amp;gt;true&amp;lt;/IsOriginal&amp;gt;_x000d__x000a_        &amp;lt;IsDeleted&amp;gt;false&amp;lt;/IsDeleted&amp;gt;_x000d__x000a_        &amp;lt;CaseName&amp;gt;שוקייר ואח&amp;#39; נ&amp;#39; שוקייר&amp;lt;/CaseName&amp;gt;_x000d__x000a_        &amp;lt;CaseDisplayIdentifier&amp;gt;31192-01-24 עמ&amp;quot;ש&amp;lt;/CaseDisplayIdentifier&amp;gt;_x000d__x000a_      &amp;lt;/dt_DecisionCase&amp;gt;_x000d__x000a_      &amp;lt;dt_DecisionJudgePanel diffgr:id=&amp;quot;dt_DecisionJudgePanel1&amp;quot; msdata:rowOrder=&amp;quot;0&amp;quot;&amp;gt;_x000d__x000a_        &amp;lt;DecisionID&amp;gt;152208349&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208349&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208349&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2208349"/>
    <w:docVar w:name="docID" w:val="445706871"/>
    <w:docVar w:name="judgeUPN" w:val="056479827@GOV.IL"/>
    <w:docVar w:name="NGCS.TemplateCaseInterestID" w:val="67"/>
    <w:docVar w:name="NGCS.TemplateCaseTypeID" w:val="63"/>
    <w:docVar w:name="NGCS.TemplateCourtID" w:val="13"/>
    <w:docVar w:name="NGCS.TemplateProceedingID" w:val="14"/>
    <w:docVar w:name="noteDocID" w:val="445706871"/>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E7479"/>
    <w:rsid w:val="000F0BC8"/>
    <w:rsid w:val="000F0DD6"/>
    <w:rsid w:val="00107E6D"/>
    <w:rsid w:val="0011194C"/>
    <w:rsid w:val="0011424C"/>
    <w:rsid w:val="001173C6"/>
    <w:rsid w:val="00122A9F"/>
    <w:rsid w:val="001367BC"/>
    <w:rsid w:val="00144D2A"/>
    <w:rsid w:val="0014653E"/>
    <w:rsid w:val="001565B7"/>
    <w:rsid w:val="00180519"/>
    <w:rsid w:val="00191C82"/>
    <w:rsid w:val="001C4003"/>
    <w:rsid w:val="001D4DBF"/>
    <w:rsid w:val="001E75CA"/>
    <w:rsid w:val="002265FF"/>
    <w:rsid w:val="00250966"/>
    <w:rsid w:val="00271B56"/>
    <w:rsid w:val="00272E32"/>
    <w:rsid w:val="00281D44"/>
    <w:rsid w:val="002C344E"/>
    <w:rsid w:val="002E75E9"/>
    <w:rsid w:val="002F0B1E"/>
    <w:rsid w:val="00307A6A"/>
    <w:rsid w:val="00307C40"/>
    <w:rsid w:val="00320433"/>
    <w:rsid w:val="00322535"/>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381"/>
    <w:rsid w:val="00465D36"/>
    <w:rsid w:val="004C17EE"/>
    <w:rsid w:val="004C4BDF"/>
    <w:rsid w:val="004D1187"/>
    <w:rsid w:val="004D3AA0"/>
    <w:rsid w:val="004E1987"/>
    <w:rsid w:val="004E2E15"/>
    <w:rsid w:val="004E6E3C"/>
    <w:rsid w:val="004F390A"/>
    <w:rsid w:val="00520898"/>
    <w:rsid w:val="00523621"/>
    <w:rsid w:val="00524986"/>
    <w:rsid w:val="005268F6"/>
    <w:rsid w:val="00534284"/>
    <w:rsid w:val="0054140F"/>
    <w:rsid w:val="00547DB7"/>
    <w:rsid w:val="00555386"/>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22D2C"/>
    <w:rsid w:val="00734689"/>
    <w:rsid w:val="007351F7"/>
    <w:rsid w:val="0074199A"/>
    <w:rsid w:val="00753019"/>
    <w:rsid w:val="00754801"/>
    <w:rsid w:val="00761441"/>
    <w:rsid w:val="00763A0C"/>
    <w:rsid w:val="00795365"/>
    <w:rsid w:val="007A351D"/>
    <w:rsid w:val="007B7765"/>
    <w:rsid w:val="007C2453"/>
    <w:rsid w:val="007C5BDD"/>
    <w:rsid w:val="007D45E3"/>
    <w:rsid w:val="007D492D"/>
    <w:rsid w:val="007E6115"/>
    <w:rsid w:val="007F4609"/>
    <w:rsid w:val="00805EFF"/>
    <w:rsid w:val="00814468"/>
    <w:rsid w:val="008176A1"/>
    <w:rsid w:val="00820005"/>
    <w:rsid w:val="00822454"/>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2CFE"/>
    <w:rsid w:val="00937577"/>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753EF"/>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5A05"/>
    <w:rsid w:val="00B86096"/>
    <w:rsid w:val="00B964D9"/>
    <w:rsid w:val="00BA0A7C"/>
    <w:rsid w:val="00BA517C"/>
    <w:rsid w:val="00BB3D05"/>
    <w:rsid w:val="00BB53D3"/>
    <w:rsid w:val="00BB73BE"/>
    <w:rsid w:val="00BC2D89"/>
    <w:rsid w:val="00BC3B41"/>
    <w:rsid w:val="00BD6531"/>
    <w:rsid w:val="00BE05B2"/>
    <w:rsid w:val="00BF1908"/>
    <w:rsid w:val="00C22D93"/>
    <w:rsid w:val="00C23458"/>
    <w:rsid w:val="00C23AC9"/>
    <w:rsid w:val="00C31120"/>
    <w:rsid w:val="00C34482"/>
    <w:rsid w:val="00C43648"/>
    <w:rsid w:val="00C50A9F"/>
    <w:rsid w:val="00C642FA"/>
    <w:rsid w:val="00C770E3"/>
    <w:rsid w:val="00CA42F9"/>
    <w:rsid w:val="00CC5788"/>
    <w:rsid w:val="00CC72AE"/>
    <w:rsid w:val="00CC7622"/>
    <w:rsid w:val="00CD608F"/>
    <w:rsid w:val="00CF6BB7"/>
    <w:rsid w:val="00D04AA4"/>
    <w:rsid w:val="00D27982"/>
    <w:rsid w:val="00D33B86"/>
    <w:rsid w:val="00D433F3"/>
    <w:rsid w:val="00D44968"/>
    <w:rsid w:val="00D53924"/>
    <w:rsid w:val="00D55D0C"/>
    <w:rsid w:val="00D96D8C"/>
    <w:rsid w:val="00DA2495"/>
    <w:rsid w:val="00DA6649"/>
    <w:rsid w:val="00DC1259"/>
    <w:rsid w:val="00DC1BD2"/>
    <w:rsid w:val="00DC2571"/>
    <w:rsid w:val="00DC487C"/>
    <w:rsid w:val="00DD05A8"/>
    <w:rsid w:val="00DD4335"/>
    <w:rsid w:val="00DD67DC"/>
    <w:rsid w:val="00DE1E7D"/>
    <w:rsid w:val="00DE6BF6"/>
    <w:rsid w:val="00E00709"/>
    <w:rsid w:val="00E1068A"/>
    <w:rsid w:val="00E25884"/>
    <w:rsid w:val="00E25B55"/>
    <w:rsid w:val="00E31C2B"/>
    <w:rsid w:val="00E5426A"/>
    <w:rsid w:val="00E54642"/>
    <w:rsid w:val="00E80CBE"/>
    <w:rsid w:val="00E9269D"/>
    <w:rsid w:val="00E962E3"/>
    <w:rsid w:val="00EB6C79"/>
    <w:rsid w:val="00EC21D9"/>
    <w:rsid w:val="00EC37E9"/>
    <w:rsid w:val="00EC5E60"/>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DD67DC"/>
    <w:rPr>
      <w:color w:val="0000FF" w:themeColor="hyperlink"/>
      <w:u w:val="single"/>
    </w:rPr>
  </w:style>
  <w:style w:type="paragraph" w:styleId="ad">
    <w:name w:val="List Paragraph"/>
    <w:basedOn w:val="a"/>
    <w:uiPriority w:val="34"/>
    <w:qFormat/>
    <w:rsid w:val="00DD67DC"/>
    <w:pPr>
      <w:ind w:left="720"/>
      <w:contextualSpacing/>
      <w:jc w:val="both"/>
    </w:pPr>
    <w:rPr>
      <w:rFonts w:ascii="David" w:eastAsiaTheme="minorHAnsi"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20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0018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85441"/>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616B"/>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בן ציון ראם-רחמים</FullName>
        <FirstName>בן ציון</FirstName>
        <LastName>ראם-רחמים</LastName>
        <PartyPropertyName/>
        <AuthenticationTypeAndNumber>מ.ר. 36693</AuthenticationTypeAndNumber>
        <RepresentatedOrRepresentativesNames>לילי שוקייר</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264939930</CasePartyID>
        <PartyTypeID>2</PartyTypeID>
        <ActivityStatusID>1</ActivityStatusID>
        <PartyAliasID>23</PartyAliasID>
        <PartyAliasName>בא כוח משיבים</PartyAliasName>
        <LegalEntityID>407562</LegalEntityID>
        <CaseLegalEntityID>127356074</CaseLegalEntityID>
        <AuthenticationTypeID>4</AuthenticationTypeID>
        <AuthenticationTypeName>מ.ר.</AuthenticationTypeName>
        <LegalEntityNumber>36693</LegalEntityNumber>
        <IsMainPartyType>true</IsMainPartyType>
        <CaseDisplayIdentifier>31192-01-24</CaseDisplayIdentifier>
        <CaseTypeID>63</CaseTypeID>
        <CaseTypeName>ערעור משפחה (עמ"ש)</CaseTypeName>
        <CaseName>שוקייר ואח' נ' שוקייר</CaseName>
        <FullAddress>פל ים 2 חיפה </FullAddress>
        <EmailAddress>reem@013.net</EmailAddress>
        <MotionID>0</MotionID>
        <CasePleaID>0</CasePleaID>
        <LinkedCaseID>0</LinkedCaseID>
        <PartyID>2</PartyID>
        <CasePartyCategoryID>2</CasePartyCategoryID>
        <LegalEntityAddressID>76032362</LegalEntityAddressID>
        <LegalEntityEmailAddressID>67916628</LegalEntityEmailAddressID>
        <PleaTypeID>6</PleaTypeID>
        <LawyerOfficeName>משרד עו"ד: בן ציון ראם-רחמים</LawyerOfficeName>
        <LawyerOfficeID>448206</LawyerOfficeID>
        <GroupPartyAlias/>
        <IsConverted>false</IsConverted>
        <LegalEntityNameID>28546</LegalEntityNameID>
        <RepresentatedNamesOfAssistant/>
        <LegalEntityTypeID>4</LegalEntityTypeID>
        <IsVerdictExists>false</IsVerdictExists>
        <IsAsirAzir>false</IsAsirAzir>
        <IsPublicationProhibited>false</IsPublicationProhibited>
        <PublicationProhibitedFullName>בן ציון ראם-רחמים</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חנא שוקייר</FullName>
        <FirstName>חנא</FirstName>
        <LastName>שוקייר</LastName>
        <PartyPropertyName/>
        <AuthenticationTypeAndNumber>ת"ז 020996294</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264939028</CasePartyID>
        <PartyTypeID>1</PartyTypeID>
        <ActivityStatusID>1</ActivityStatusID>
        <PartyAliasID>5</PartyAliasID>
        <PartyAliasName>מערער</PartyAliasName>
        <OrdinalNumber>1</OrdinalNumber>
        <LegalEntityID>73279669</LegalEntityID>
        <CaseLegalEntityID>127355834</CaseLegalEntityID>
        <AuthenticationTypeID>1</AuthenticationTypeID>
        <AuthenticationTypeName>ת"ז</AuthenticationTypeName>
        <LegalEntityNumber>020996294</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בשארה</FatherName>
        <LinkedCaseID>0</LinkedCaseID>
        <PartyID>1</PartyID>
        <CasePartyCategoryID>2</CasePartyCategoryID>
        <LegalEntityAddressID>84602670</LegalEntityAddressID>
        <PleaTypeID>6</PleaTypeID>
        <GroupPartyAlias>מערערים</GroupPartyAlias>
        <IsConverted>false</IsConverted>
        <LegalEntityRegisteredNameID>4233311</LegalEntityRegisteredNameID>
        <LegalEntityNameID>90585707</LegalEntityNameID>
        <RepresentatedNamesOfAssistant/>
        <LegalEntityTypeID>1</LegalEntityTypeID>
        <IsVerdictExists>false</IsVerdictExists>
        <IsAsirAzir>false</IsAsirAzir>
        <IsPublicationProhibited>false</IsPublicationProhibited>
        <PublicationProhibitedFullName>חנא שוקייר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ויטולד איראני</FullName>
        <FirstName>ויטולד</FirstName>
        <LastName>איראני</LastName>
        <PartyPropertyName/>
        <AuthenticationTypeAndNumber>מ.ר. 13897</AuthenticationTypeAndNumber>
        <RepresentatedOrRepresentativesNames>חנא שוקייר, לואיס שוקייר, מארון שוקייר, נאדיה שוקייר</RepresentatedOrRepresentativesNames>
        <RepresentatedOrRepresentativesCount>4</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264939033</CasePartyID>
        <PartyTypeID>2</PartyTypeID>
        <ActivityStatusID>1</ActivityStatusID>
        <PartyAliasID>24</PartyAliasID>
        <PartyAliasName>בא כוח מערערים</PartyAliasName>
        <OrdinalNumber>1</OrdinalNumber>
        <LegalEntityID>383174</LegalEntityID>
        <CaseLegalEntityID>127355839</CaseLegalEntityID>
        <AuthenticationTypeID>4</AuthenticationTypeID>
        <AuthenticationTypeName>מ.ר.</AuthenticationTypeName>
        <LegalEntityNumber>13897</LegalEntityNumber>
        <IsMainPartyType>true</IsMainPartyType>
        <CaseDisplayIdentifier>31192-01-24</CaseDisplayIdentifier>
        <CaseTypeID>63</CaseTypeID>
        <CaseTypeName>ערעור משפחה (עמ"ש)</CaseTypeName>
        <CaseName>שוקייר ואח' נ' שוקייר</CaseName>
        <FullAddress>שד' בן גוריון 33 חיפה </FullAddress>
        <EmailAddress>iranilaw@gmail.com</EmailAddress>
        <MotionID>0</MotionID>
        <CasePleaID>0</CasePleaID>
        <LinkedCaseID>0</LinkedCaseID>
        <PartyID>1</PartyID>
        <CasePartyCategoryID>2</CasePartyCategoryID>
        <LegalEntityAddressID>421330</LegalEntityAddressID>
        <LegalEntityEmailAddressID>67848981</LegalEntityEmailAddressID>
        <PleaTypeID>6</PleaTypeID>
        <LawyerOfficeName>איראני ויטולד עורכי דין</LawyerOfficeName>
        <LawyerOfficeID>418992</LawyerOfficeID>
        <GroupPartyAlias/>
        <IsConverted>false</IsConverted>
        <LegalEntityNameID>4158</LegalEntityNameID>
        <RepresentatedNamesOfAssistant/>
        <LegalEntityTypeID>4</LegalEntityTypeID>
        <IsVerdictExists>false</IsVerdictExists>
        <IsAsirAzir>false</IsAsirAzir>
        <IsPublicationProhibited>false</IsPublicationProhibited>
        <PublicationProhibitedFullName>ויטולד איראני</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לילי שוקייר</FullName>
        <FirstName>לילי</FirstName>
        <LastName>שוקייר</LastName>
        <PartyPropertyName/>
        <AuthenticationTypeAndNumber>ת"ז 035458686</AuthenticationTypeAndNumber>
        <RepresentatedOrRepresentativesNames>בן ציון ראם-רחמים</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264939032</CasePartyID>
        <PartyTypeID>1</PartyTypeID>
        <ActivityStatusID>1</ActivityStatusID>
        <PartyAliasID>4</PartyAliasID>
        <PartyAliasName>משיב</PartyAliasName>
        <OrdinalNumber>1</OrdinalNumber>
        <LegalEntityID>6159991</LegalEntityID>
        <CaseLegalEntityID>127355838</CaseLegalEntityID>
        <AuthenticationTypeID>1</AuthenticationTypeID>
        <AuthenticationTypeName>ת"ז</AuthenticationTypeName>
        <LegalEntityNumber>035458686</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זכי</FatherName>
        <LinkedCaseID>0</LinkedCaseID>
        <PartyID>2</PartyID>
        <CasePartyCategoryID>2</CasePartyCategoryID>
        <LegalEntityAddressID>88833408</LegalEntityAddressID>
        <PleaTypeID>6</PleaTypeID>
        <GroupPartyAlias>משיבים</GroupPartyAlias>
        <IsConverted>false</IsConverted>
        <LegalEntityRegisteredNameID>5416082</LegalEntityRegisteredNameID>
        <LegalEntityNameID>90585706</LegalEntityNameID>
        <RepresentatedNamesOfAssistant/>
        <LegalEntityTypeID>1</LegalEntityTypeID>
        <IsVerdictExists>false</IsVerdictExists>
        <IsAsirAzir>false</IsAsirAzir>
        <IsPublicationProhibited>false</IsPublicationProhibited>
        <PublicationProhibitedFullName>לילי שוקייר</PublicationProhibitedFullName>
      </CaseParties>
      <CaseParties>
        <PartyTypeName>צד</PartyTypeName>
        <ProceedingType>כתב טענות עיקרי</ProceedingType>
        <PleaName>הודעת ערעור</PleaName>
        <PartyBelonging>צד א'</PartyBelonging>
        <RoleName>מערער 2 - נתבע</RoleName>
        <IsSubProceeding>FALSE</IsSubProceeding>
        <FullName>לואיס שוקייר</FullName>
        <FirstName>לואיס</FirstName>
        <LastName>שוקייר</LastName>
        <PartyPropertyName/>
        <AuthenticationTypeAndNumber>ת"ז 053830444</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264939029</CasePartyID>
        <PartyTypeID>1</PartyTypeID>
        <ActivityStatusID>1</ActivityStatusID>
        <PartyAliasID>5</PartyAliasID>
        <PartyAliasName>מערער</PartyAliasName>
        <OrdinalNumber>2</OrdinalNumber>
        <LegalEntityID>12672492</LegalEntityID>
        <CaseLegalEntityID>127355835</CaseLegalEntityID>
        <AuthenticationTypeID>1</AuthenticationTypeID>
        <AuthenticationTypeName>ת"ז</AuthenticationTypeName>
        <LegalEntityNumber>053830444</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בשארה</FatherName>
        <LinkedCaseID>0</LinkedCaseID>
        <PartyID>1</PartyID>
        <CasePartyCategoryID>2</CasePartyCategoryID>
        <LegalEntityAddressID>88833381</LegalEntityAddressID>
        <PleaTypeID>6</PleaTypeID>
        <GroupPartyAlias>מערערים</GroupPartyAlias>
        <IsConverted>false</IsConverted>
        <LegalEntityRegisteredNameID>4338056</LegalEntityRegisteredNameID>
        <LegalEntityNameID>90585708</LegalEntityNameID>
        <RepresentatedNamesOfAssistant/>
        <LegalEntityTypeID>1</LegalEntityTypeID>
        <IsVerdictExists>false</IsVerdictExists>
        <IsAsirAzir>false</IsAsirAzir>
        <IsPublicationProhibited>false</IsPublicationProhibited>
        <PublicationProhibitedFullName>לואיס שוקייר</PublicationProhibitedFullName>
      </CaseParties>
      <CaseParties>
        <PartyTypeName>צד</PartyTypeName>
        <ProceedingType>כתב טענות עיקרי</ProceedingType>
        <PleaName>הודעת ערעור</PleaName>
        <PartyBelonging>צד א'</PartyBelonging>
        <RoleName>מערער 3 - נתבע</RoleName>
        <IsSubProceeding>FALSE</IsSubProceeding>
        <FullName>מארון שוקייר</FullName>
        <FirstName>מארון</FirstName>
        <LastName>שוקייר</LastName>
        <PartyPropertyName/>
        <AuthenticationTypeAndNumber>ת"ז 054470224</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264939030</CasePartyID>
        <PartyTypeID>1</PartyTypeID>
        <ActivityStatusID>1</ActivityStatusID>
        <PartyAliasID>5</PartyAliasID>
        <PartyAliasName>מערער</PartyAliasName>
        <OrdinalNumber>3</OrdinalNumber>
        <LegalEntityID>13092896</LegalEntityID>
        <CaseLegalEntityID>127355836</CaseLegalEntityID>
        <AuthenticationTypeID>1</AuthenticationTypeID>
        <AuthenticationTypeName>ת"ז</AuthenticationTypeName>
        <LegalEntityNumber>054470224</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בשארה</FatherName>
        <LinkedCaseID>0</LinkedCaseID>
        <PartyID>1</PartyID>
        <CasePartyCategoryID>2</CasePartyCategoryID>
        <LegalEntityAddressID>88833386</LegalEntityAddressID>
        <PleaTypeID>6</PleaTypeID>
        <GroupPartyAlias>מערערים</GroupPartyAlias>
        <IsConverted>false</IsConverted>
        <LegalEntityRegisteredNameID>1867003</LegalEntityRegisteredNameID>
        <LegalEntityNameID>95994535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מארון שוקייר</PublicationProhibitedFullName>
      </CaseParties>
      <CaseParties>
        <PartyTypeName>צד</PartyTypeName>
        <ProceedingType>כתב טענות עיקרי</ProceedingType>
        <PleaName>הודעת ערעור</PleaName>
        <PartyBelonging>צד א'</PartyBelonging>
        <RoleName>מערער 4 - נתבע</RoleName>
        <IsSubProceeding>FALSE</IsSubProceeding>
        <FullName>נאדיה שוקייר</FullName>
        <FirstName>נאדיה</FirstName>
        <LastName>שוקיר</LastName>
        <PartyPropertyName/>
        <AuthenticationTypeAndNumber>ת"ז 053760559</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264939031</CasePartyID>
        <PartyTypeID>1</PartyTypeID>
        <ActivityStatusID>1</ActivityStatusID>
        <PartyAliasID>5</PartyAliasID>
        <PartyAliasName>מערער</PartyAliasName>
        <OrdinalNumber>4</OrdinalNumber>
        <LegalEntityID>6186895</LegalEntityID>
        <CaseLegalEntityID>127355837</CaseLegalEntityID>
        <AuthenticationTypeID>1</AuthenticationTypeID>
        <AuthenticationTypeName>ת"ז</AuthenticationTypeName>
        <LegalEntityNumber>053760559</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פריד</FatherName>
        <LinkedCaseID>0</LinkedCaseID>
        <PartyID>1</PartyID>
        <CasePartyCategoryID>2</CasePartyCategoryID>
        <LegalEntityAddressID>88833395</LegalEntityAddressID>
        <PleaTypeID>6</PleaTypeID>
        <GroupPartyAlias>מערערים</GroupPartyAlias>
        <IsConverted>false</IsConverted>
        <LegalEntityRegisteredNameID>2374651</LegalEntityRegisteredNameID>
        <LegalEntityNameID>95994543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נאדיה שוקייר</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2024-06-13T10:25:44.7767671+03:00</DecisionSignatureDate>
    <OpenCaseDate>2024-01-14T11:57:00+02:00</OpenCaseDate>
    <CaseFeeSum>0.000</CaseFeeSum>
    <DecisionTypeID>2</DecisionTypeID>
    <DecisionSignatureUserName>חננאל שרעבי</DecisionSignatureUserName>
    <DecisionSignatureDateHebrew>2024-06-13T10:25:44.7767671+03:00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שוקייר ואח' נ' שוקייר</CaseName>
    <DecisionNumberInCase>14</DecisionNumberInCase>
  </dt_Decision>
  <dt_DecisionCase>
    <DecisionID>0</DecisionID>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בן ציון ראם-רחמים</FullName>
        <FirstName>בן ציון</FirstName>
        <LastName>ראם-רחמים</LastName>
        <PartyPropertyName/>
        <AuthenticationTypeAndNumber>מ.ר. 36693</AuthenticationTypeAndNumber>
        <RepresentatedOrRepresentativesNames>לילי שוקייר</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264939930</CasePartyID>
        <PartyTypeID>2</PartyTypeID>
        <ActivityStatusID>1</ActivityStatusID>
        <PartyAliasID>23</PartyAliasID>
        <PartyAliasName>בא כוח משיבים</PartyAliasName>
        <LegalEntityID>407562</LegalEntityID>
        <CaseLegalEntityID>127356074</CaseLegalEntityID>
        <AuthenticationTypeID>4</AuthenticationTypeID>
        <AuthenticationTypeName>מ.ר.</AuthenticationTypeName>
        <LegalEntityNumber>36693</LegalEntityNumber>
        <IsMainPartyType>true</IsMainPartyType>
        <CaseDisplayIdentifier>31192-01-24</CaseDisplayIdentifier>
        <CaseTypeID>63</CaseTypeID>
        <CaseTypeName>ערעור משפחה (עמ"ש)</CaseTypeName>
        <CaseName>שוקייר ואח' נ' שוקייר</CaseName>
        <FullAddress>פל ים 2 חיפה </FullAddress>
        <EmailAddress>reem@013.net</EmailAddress>
        <MotionID>0</MotionID>
        <CasePleaID>0</CasePleaID>
        <LinkedCaseID>0</LinkedCaseID>
        <PartyID>2</PartyID>
        <CasePartyCategoryID>2</CasePartyCategoryID>
        <LegalEntityAddressID>76032362</LegalEntityAddressID>
        <LegalEntityEmailAddressID>67916628</LegalEntityEmailAddressID>
        <PleaTypeID>6</PleaTypeID>
        <LawyerOfficeName>משרד עו"ד: בן ציון ראם-רחמים</LawyerOfficeName>
        <LawyerOfficeID>448206</LawyerOfficeID>
        <GroupPartyAlias/>
        <IsConverted>false</IsConverted>
        <LegalEntityNameID>28546</LegalEntityNameID>
        <RepresentatedNamesOfAssistant/>
        <LegalEntityTypeID>4</LegalEntityTypeID>
        <IsVerdictExists>false</IsVerdictExists>
        <IsAsirAzir>false</IsAsirAzir>
        <IsPublicationProhibited>false</IsPublicationProhibited>
        <PublicationProhibitedFullName>בן ציון ראם-רחמים</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חנא שוקייר</FullName>
        <FirstName>חנא</FirstName>
        <LastName>שוקייר</LastName>
        <PartyPropertyName/>
        <AuthenticationTypeAndNumber>ת"ז 020996294</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264939028</CasePartyID>
        <PartyTypeID>1</PartyTypeID>
        <ActivityStatusID>1</ActivityStatusID>
        <PartyAliasID>5</PartyAliasID>
        <PartyAliasName>מערער</PartyAliasName>
        <OrdinalNumber>1</OrdinalNumber>
        <LegalEntityID>73279669</LegalEntityID>
        <CaseLegalEntityID>127355834</CaseLegalEntityID>
        <AuthenticationTypeID>1</AuthenticationTypeID>
        <AuthenticationTypeName>ת"ז</AuthenticationTypeName>
        <LegalEntityNumber>020996294</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בשארה</FatherName>
        <LinkedCaseID>0</LinkedCaseID>
        <PartyID>1</PartyID>
        <CasePartyCategoryID>2</CasePartyCategoryID>
        <LegalEntityAddressID>84602670</LegalEntityAddressID>
        <PleaTypeID>6</PleaTypeID>
        <GroupPartyAlias>מערערים</GroupPartyAlias>
        <IsConverted>false</IsConverted>
        <LegalEntityRegisteredNameID>4233311</LegalEntityRegisteredNameID>
        <LegalEntityNameID>90585707</LegalEntityNameID>
        <RepresentatedNamesOfAssistant/>
        <LegalEntityTypeID>1</LegalEntityTypeID>
        <IsVerdictExists>false</IsVerdictExists>
        <IsAsirAzir>false</IsAsirAzir>
        <IsPublicationProhibited>false</IsPublicationProhibited>
        <PublicationProhibitedFullName>חנא שוקייר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ויטולד איראני</FullName>
        <FirstName>ויטולד</FirstName>
        <LastName>איראני</LastName>
        <PartyPropertyName/>
        <AuthenticationTypeAndNumber>מ.ר. 13897</AuthenticationTypeAndNumber>
        <RepresentatedOrRepresentativesNames>חנא שוקייר, לואיס שוקייר, מארון שוקייר, נאדיה שוקייר</RepresentatedOrRepresentativesNames>
        <RepresentatedOrRepresentativesCount>4</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264939033</CasePartyID>
        <PartyTypeID>2</PartyTypeID>
        <ActivityStatusID>1</ActivityStatusID>
        <PartyAliasID>24</PartyAliasID>
        <PartyAliasName>בא כוח מערערים</PartyAliasName>
        <OrdinalNumber>1</OrdinalNumber>
        <LegalEntityID>383174</LegalEntityID>
        <CaseLegalEntityID>127355839</CaseLegalEntityID>
        <AuthenticationTypeID>4</AuthenticationTypeID>
        <AuthenticationTypeName>מ.ר.</AuthenticationTypeName>
        <LegalEntityNumber>13897</LegalEntityNumber>
        <IsMainPartyType>true</IsMainPartyType>
        <CaseDisplayIdentifier>31192-01-24</CaseDisplayIdentifier>
        <CaseTypeID>63</CaseTypeID>
        <CaseTypeName>ערעור משפחה (עמ"ש)</CaseTypeName>
        <CaseName>שוקייר ואח' נ' שוקייר</CaseName>
        <FullAddress>שד' בן גוריון 33 חיפה </FullAddress>
        <EmailAddress>iranilaw@gmail.com</EmailAddress>
        <MotionID>0</MotionID>
        <CasePleaID>0</CasePleaID>
        <LinkedCaseID>0</LinkedCaseID>
        <PartyID>1</PartyID>
        <CasePartyCategoryID>2</CasePartyCategoryID>
        <LegalEntityAddressID>421330</LegalEntityAddressID>
        <LegalEntityEmailAddressID>67848981</LegalEntityEmailAddressID>
        <PleaTypeID>6</PleaTypeID>
        <LawyerOfficeName>איראני ויטולד עורכי דין</LawyerOfficeName>
        <LawyerOfficeID>418992</LawyerOfficeID>
        <GroupPartyAlias/>
        <IsConverted>false</IsConverted>
        <LegalEntityNameID>4158</LegalEntityNameID>
        <RepresentatedNamesOfAssistant/>
        <LegalEntityTypeID>4</LegalEntityTypeID>
        <IsVerdictExists>false</IsVerdictExists>
        <IsAsirAzir>false</IsAsirAzir>
        <IsPublicationProhibited>false</IsPublicationProhibited>
        <PublicationProhibitedFullName>ויטולד איראני</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לילי שוקייר</FullName>
        <FirstName>לילי</FirstName>
        <LastName>שוקייר</LastName>
        <PartyPropertyName/>
        <AuthenticationTypeAndNumber>ת"ז 035458686</AuthenticationTypeAndNumber>
        <RepresentatedOrRepresentativesNames>בן ציון ראם-רחמים</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264939032</CasePartyID>
        <PartyTypeID>1</PartyTypeID>
        <ActivityStatusID>1</ActivityStatusID>
        <PartyAliasID>4</PartyAliasID>
        <PartyAliasName>משיב</PartyAliasName>
        <OrdinalNumber>1</OrdinalNumber>
        <LegalEntityID>6159991</LegalEntityID>
        <CaseLegalEntityID>127355838</CaseLegalEntityID>
        <AuthenticationTypeID>1</AuthenticationTypeID>
        <AuthenticationTypeName>ת"ז</AuthenticationTypeName>
        <LegalEntityNumber>035458686</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זכי</FatherName>
        <LinkedCaseID>0</LinkedCaseID>
        <PartyID>2</PartyID>
        <CasePartyCategoryID>2</CasePartyCategoryID>
        <LegalEntityAddressID>88833408</LegalEntityAddressID>
        <PleaTypeID>6</PleaTypeID>
        <GroupPartyAlias>משיבים</GroupPartyAlias>
        <IsConverted>false</IsConverted>
        <LegalEntityRegisteredNameID>5416082</LegalEntityRegisteredNameID>
        <LegalEntityNameID>90585706</LegalEntityNameID>
        <RepresentatedNamesOfAssistant/>
        <LegalEntityTypeID>1</LegalEntityTypeID>
        <IsVerdictExists>false</IsVerdictExists>
        <IsAsirAzir>false</IsAsirAzir>
        <IsPublicationProhibited>false</IsPublicationProhibited>
        <PublicationProhibitedFullName>לילי שוקייר</PublicationProhibitedFullName>
      </CaseParties>
      <CaseParties>
        <PartyTypeName>צד</PartyTypeName>
        <ProceedingType>כתב טענות עיקרי</ProceedingType>
        <PleaName>הודעת ערעור</PleaName>
        <PartyBelonging>צד א'</PartyBelonging>
        <RoleName>מערער 2 - נתבע</RoleName>
        <IsSubProceeding>FALSE</IsSubProceeding>
        <FullName>לואיס שוקייר</FullName>
        <FirstName>לואיס</FirstName>
        <LastName>שוקייר</LastName>
        <PartyPropertyName/>
        <AuthenticationTypeAndNumber>ת"ז 053830444</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264939029</CasePartyID>
        <PartyTypeID>1</PartyTypeID>
        <ActivityStatusID>1</ActivityStatusID>
        <PartyAliasID>5</PartyAliasID>
        <PartyAliasName>מערער</PartyAliasName>
        <OrdinalNumber>2</OrdinalNumber>
        <LegalEntityID>12672492</LegalEntityID>
        <CaseLegalEntityID>127355835</CaseLegalEntityID>
        <AuthenticationTypeID>1</AuthenticationTypeID>
        <AuthenticationTypeName>ת"ז</AuthenticationTypeName>
        <LegalEntityNumber>053830444</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בשארה</FatherName>
        <LinkedCaseID>0</LinkedCaseID>
        <PartyID>1</PartyID>
        <CasePartyCategoryID>2</CasePartyCategoryID>
        <LegalEntityAddressID>88833381</LegalEntityAddressID>
        <PleaTypeID>6</PleaTypeID>
        <GroupPartyAlias>מערערים</GroupPartyAlias>
        <IsConverted>false</IsConverted>
        <LegalEntityRegisteredNameID>4338056</LegalEntityRegisteredNameID>
        <LegalEntityNameID>90585708</LegalEntityNameID>
        <RepresentatedNamesOfAssistant/>
        <LegalEntityTypeID>1</LegalEntityTypeID>
        <IsVerdictExists>false</IsVerdictExists>
        <IsAsirAzir>false</IsAsirAzir>
        <IsPublicationProhibited>false</IsPublicationProhibited>
        <PublicationProhibitedFullName>לואיס שוקייר</PublicationProhibitedFullName>
      </CaseParties>
      <CaseParties>
        <PartyTypeName>צד</PartyTypeName>
        <ProceedingType>כתב טענות עיקרי</ProceedingType>
        <PleaName>הודעת ערעור</PleaName>
        <PartyBelonging>צד א'</PartyBelonging>
        <RoleName>מערער 3 - נתבע</RoleName>
        <IsSubProceeding>FALSE</IsSubProceeding>
        <FullName>מארון שוקייר</FullName>
        <FirstName>מארון</FirstName>
        <LastName>שוקייר</LastName>
        <PartyPropertyName/>
        <AuthenticationTypeAndNumber>ת"ז 054470224</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264939030</CasePartyID>
        <PartyTypeID>1</PartyTypeID>
        <ActivityStatusID>1</ActivityStatusID>
        <PartyAliasID>5</PartyAliasID>
        <PartyAliasName>מערער</PartyAliasName>
        <OrdinalNumber>3</OrdinalNumber>
        <LegalEntityID>13092896</LegalEntityID>
        <CaseLegalEntityID>127355836</CaseLegalEntityID>
        <AuthenticationTypeID>1</AuthenticationTypeID>
        <AuthenticationTypeName>ת"ז</AuthenticationTypeName>
        <LegalEntityNumber>054470224</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בשארה</FatherName>
        <LinkedCaseID>0</LinkedCaseID>
        <PartyID>1</PartyID>
        <CasePartyCategoryID>2</CasePartyCategoryID>
        <LegalEntityAddressID>88833386</LegalEntityAddressID>
        <PleaTypeID>6</PleaTypeID>
        <GroupPartyAlias>מערערים</GroupPartyAlias>
        <IsConverted>false</IsConverted>
        <LegalEntityRegisteredNameID>1867003</LegalEntityRegisteredNameID>
        <LegalEntityNameID>95994535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מארון שוקייר</PublicationProhibitedFullName>
      </CaseParties>
      <CaseParties>
        <PartyTypeName>צד</PartyTypeName>
        <ProceedingType>כתב טענות עיקרי</ProceedingType>
        <PleaName>הודעת ערעור</PleaName>
        <PartyBelonging>צד א'</PartyBelonging>
        <RoleName>מערער 4 - נתבע</RoleName>
        <IsSubProceeding>FALSE</IsSubProceeding>
        <FullName>נאדיה שוקייר</FullName>
        <FirstName>נאדיה</FirstName>
        <LastName>שוקיר</LastName>
        <PartyPropertyName/>
        <AuthenticationTypeAndNumber>ת"ז 053760559</AuthenticationTypeAndNumber>
        <RepresentatedOrRepresentativesNames>ויטולד איראני</RepresentatedOrRepresentativesNames>
        <RepresentatedOrRepresentativesCount>1</RepresentatedOrRepresentativesCount>
        <InvitedBy/>
        <CaseID>80906825</CaseID>
        <CaseJudicialPersonPresentationDS>
          <CaseJudicalPersonActive>
            <CaseID>80906825</CaseID>
            <JudicialPersonID>056479827@GOV.IL</JudicialPersonID>
            <JudicialPersonTypeID>1</JudicialPersonTypeID>
            <JudicialTypeID>3</JudicialTypeID>
            <IsChairman>true</IsChairman>
            <TreatmentStartDate>2024-01-15T14:39:03.16+02:00</TreatmentStartDate>
            <TreatmentFinishDate>9999-12-31T23:59:59.997+02:00</TreatmentFinishDate>
            <IdentificationCardNumber>056479827</IdentificationCardNumber>
            <DisplayName>חננאל שרעבי</DisplayName>
            <JudicialTypeName>הרכב שופטים</JudicialTypeName>
            <CaseJudicialGroupNumber>564362</CaseJudicialGroupNumber>
            <FirstName>חננאל</FirstName>
            <LastName>שרעבי</LastName>
            <JudicialPersonTitle>שופט</JudicialPersonTitle>
          </CaseJudicalPersonActive>
          <CaseJudicalPersonActive>
            <CaseID>80906825</CaseID>
            <JudicialPersonID>057955775@GOV.IL</JudicialPersonID>
            <JudicialPersonTypeID>1</JudicialPersonTypeID>
            <JudicialTypeID>3</JudicialTypeID>
            <IsChairman>false</IsChairman>
            <TreatmentStartDate>2024-01-15T14:39:03.16+02:00</TreatmentStartDate>
            <TreatmentFinishDate>9999-12-31T23:59:59.997+02:00</TreatmentFinishDate>
            <IdentificationCardNumber>057955775</IdentificationCardNumber>
            <DisplayName>אספרנצה אלון</DisplayName>
            <JudicialTypeName>הרכב שופטים</JudicialTypeName>
            <CaseJudicialGroupNumber>564362</CaseJudicialGroupNumber>
            <FirstName>אספרנצה</FirstName>
            <LastName>אלון</LastName>
            <JudicialPersonTitle>שופט</JudicialPersonTitle>
          </CaseJudicalPersonActive>
          <CaseJudicalPersonActive>
            <CaseID>80906825</CaseID>
            <JudicialPersonID>058677980@GOV.IL</JudicialPersonID>
            <JudicialPersonTypeID>1</JudicialPersonTypeID>
            <JudicialTypeID>3</JudicialTypeID>
            <IsChairman>false</IsChairman>
            <TreatmentStartDate>2024-01-15T14:39:03.16+02:00</TreatmentStartDate>
            <TreatmentFinishDate>9999-12-31T23:59:59.997+02:00</TreatmentFinishDate>
            <IdentificationCardNumber>058677980</IdentificationCardNumber>
            <DisplayName>אריה נאמן</DisplayName>
            <JudicialTypeName>הרכב שופטים</JudicialTypeName>
            <CaseJudicialGroupNumber>564362</CaseJudicialGroupNumber>
            <FirstName>אריה</FirstName>
            <LastName>נאמן</LastName>
            <JudicialPersonTitle>שופט</JudicialPersonTitle>
          </CaseJudicalPersonActive>
        </CaseJudicialPersonPresentationDS>
        <CasePartyID>264939031</CasePartyID>
        <PartyTypeID>1</PartyTypeID>
        <ActivityStatusID>1</ActivityStatusID>
        <PartyAliasID>5</PartyAliasID>
        <PartyAliasName>מערער</PartyAliasName>
        <OrdinalNumber>4</OrdinalNumber>
        <LegalEntityID>6186895</LegalEntityID>
        <CaseLegalEntityID>127355837</CaseLegalEntityID>
        <AuthenticationTypeID>1</AuthenticationTypeID>
        <AuthenticationTypeName>ת"ז</AuthenticationTypeName>
        <LegalEntityNumber>053760559</LegalEntityNumber>
        <IsMainPartyType>true</IsMainPartyType>
        <CaseDisplayIdentifier>31192-01-24</CaseDisplayIdentifier>
        <CaseTypeID>63</CaseTypeID>
        <CaseTypeName>ערעור משפחה (עמ"ש)</CaseTypeName>
        <CaseName>שוקייר ואח' נ' שוקייר</CaseName>
        <FullAddress>כבירים 76 חיפה </FullAddress>
        <MotionID>0</MotionID>
        <CasePleaID>0</CasePleaID>
        <FatherName>פריד</FatherName>
        <LinkedCaseID>0</LinkedCaseID>
        <PartyID>1</PartyID>
        <CasePartyCategoryID>2</CasePartyCategoryID>
        <LegalEntityAddressID>88833395</LegalEntityAddressID>
        <PleaTypeID>6</PleaTypeID>
        <GroupPartyAlias>מערערים</GroupPartyAlias>
        <IsConverted>false</IsConverted>
        <LegalEntityRegisteredNameID>2374651</LegalEntityRegisteredNameID>
        <LegalEntityNameID>95994543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נאדיה שוקייר</PublicationProhibitedFullName>
      </CaseParties>
    </CasePartiesSelectionDS>
    <CaseName>שוקייר ואח' נ' שוקייר</CaseName>
    <CaseDisplayIdentifier>31192-01-24</CaseDisplayIdentifier>
    <CaseInterestID>67</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077-2030933</Fax>
    <Phone>077-2030922</Phone>
    <PartyID>2</PartyID>
    <PartyTypeID>2</PartyTypeID>
    <DecisionID>0</DecisionID>
    <StreetName>פל ים 2</StreetName>
    <ZipCode>33033</ZipCode>
    <CityName>חיפה</CityName>
    <FullName>בן ציון ראם-רחמים</FullName>
    <Email>reem@013.net</Email>
    <IsPublicationProhibited>false</IsPublicationProhibited>
  </dt_LegalEntityDetails>
  <dt_LegalEntityDetails>
    <PartyID>1</PartyID>
    <PartyTypeID>1</PartyTypeID>
    <DecisionID>0</DecisionID>
    <StreetName>כבירים 76</StreetName>
    <CityName>חיפה</CityName>
    <FullName>חנא שוקייר</FullName>
    <IsPublicationProhibited>false</IsPublicationProhibited>
  </dt_LegalEntityDetails>
  <dt_LegalEntityDetails>
    <PartyID>2</PartyID>
    <PartyTypeID>1</PartyTypeID>
    <DecisionID>0</DecisionID>
    <StreetName>כבירים 76</StreetName>
    <CityName>חיפה</CityName>
    <FullName>לילי שוקייר</FullName>
    <IsPublicationProhibited>false</IsPublicationProhibited>
  </dt_LegalEntityDetails>
  <dt_LegalEntityDetails>
    <Fax>04-8511770</Fax>
    <PartyID>1</PartyID>
    <PartyTypeID>2</PartyTypeID>
    <DecisionID>0</DecisionID>
    <StreetName>שד' בן גוריון 33</StreetName>
    <ZipCode>31084</ZipCode>
    <CityName>חיפה</CityName>
    <FullName>ויטולד איראני</FullName>
    <Email>iranilaw@gmail.com</Email>
    <IsPublicationProhibited>false</IsPublicationProhibited>
  </dt_LegalEntityDetails>
  <dt_LegalEntityDetails>
    <PartyID>1</PartyID>
    <PartyTypeID>1</PartyTypeID>
    <DecisionID>0</DecisionID>
    <StreetName>כבירים 76</StreetName>
    <CityName>חיפה</CityName>
    <FullName>לואיס  שוקייר</FullName>
    <IsPublicationProhibited>false</IsPublicationProhibited>
  </dt_LegalEntityDetails>
  <dt_LegalEntityDetails>
    <PartyID>1</PartyID>
    <PartyTypeID>1</PartyTypeID>
    <DecisionID>0</DecisionID>
    <StreetName>כבירים 76</StreetName>
    <CityName>חיפה</CityName>
    <FullName>מארון שוקייר</FullName>
    <IsPublicationProhibited>false</IsPublicationProhibited>
  </dt_LegalEntityDetails>
  <dt_LegalEntityDetails>
    <PartyID>1</PartyID>
    <PartyTypeID>1</PartyTypeID>
    <DecisionID>0</DecisionID>
    <StreetName>כבירים 76</StreetName>
    <CityName>חיפה</CityName>
    <FullName>נאדיה שוקייר</FullName>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2024-06-04T10:30:00+03:00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06A1A-0E5E-4D18-868C-7AE538183250}">
  <ds:schemaRefs/>
</ds:datastoreItem>
</file>

<file path=customXml/itemProps2.xml><?xml version="1.0" encoding="utf-8"?>
<ds:datastoreItem xmlns:ds="http://schemas.openxmlformats.org/officeDocument/2006/customXml" ds:itemID="{7A6791E6-E3D6-4DBC-B275-1687397A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3477</Words>
  <Characters>17387</Characters>
  <Application>Microsoft Office Word</Application>
  <DocSecurity>0</DocSecurity>
  <Lines>144</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2024-06-20T07:38:00Z</dcterms:created>
  <dcterms:modified xsi:type="dcterms:W3CDTF">2024-06-20T07:38:00Z</dcterms:modified>
</cp:coreProperties>
</file>